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093"/>
        <w:gridCol w:w="6763"/>
      </w:tblGrid>
      <w:tr w:rsidR="00011637" w:rsidRPr="006D512E" w14:paraId="1B7C4B1F" w14:textId="77777777" w:rsidTr="008047C4">
        <w:trPr>
          <w:trHeight w:val="1985"/>
        </w:trPr>
        <w:tc>
          <w:tcPr>
            <w:tcW w:w="2093" w:type="dxa"/>
          </w:tcPr>
          <w:p w14:paraId="51AEFE7B" w14:textId="77777777" w:rsidR="00011637" w:rsidRDefault="00011637" w:rsidP="008047C4">
            <w:r>
              <w:rPr>
                <w:noProof/>
              </w:rPr>
              <w:drawing>
                <wp:inline distT="0" distB="0" distL="0" distR="0" wp14:anchorId="53841C6A" wp14:editId="0E42E7C0">
                  <wp:extent cx="848227" cy="1056903"/>
                  <wp:effectExtent l="0" t="0" r="0" b="10160"/>
                  <wp:docPr id="1" name="Picture 1" descr="\\KOTUKU\blackh\doc\gefree\gefree-logo-stripp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TUKU\blackh\doc\gefree\gefree-logo-stripped.bmp"/>
                          <pic:cNvPicPr>
                            <a:picLocks noChangeAspect="1" noChangeArrowheads="1"/>
                          </pic:cNvPicPr>
                        </pic:nvPicPr>
                        <pic:blipFill>
                          <a:blip r:embed="rId7" cstate="print"/>
                          <a:srcRect/>
                          <a:stretch>
                            <a:fillRect/>
                          </a:stretch>
                        </pic:blipFill>
                        <pic:spPr bwMode="auto">
                          <a:xfrm>
                            <a:off x="0" y="0"/>
                            <a:ext cx="848227" cy="1056903"/>
                          </a:xfrm>
                          <a:prstGeom prst="rect">
                            <a:avLst/>
                          </a:prstGeom>
                          <a:noFill/>
                          <a:ln w="9525">
                            <a:noFill/>
                            <a:miter lim="800000"/>
                            <a:headEnd/>
                            <a:tailEnd/>
                          </a:ln>
                        </pic:spPr>
                      </pic:pic>
                    </a:graphicData>
                  </a:graphic>
                </wp:inline>
              </w:drawing>
            </w:r>
          </w:p>
        </w:tc>
        <w:tc>
          <w:tcPr>
            <w:tcW w:w="6763" w:type="dxa"/>
          </w:tcPr>
          <w:p w14:paraId="41658335" w14:textId="77777777" w:rsidR="00011637" w:rsidRPr="006D512E" w:rsidRDefault="00011637" w:rsidP="008047C4">
            <w:pPr>
              <w:pStyle w:val="Heading1"/>
              <w:rPr>
                <w:rFonts w:asciiTheme="majorHAnsi" w:hAnsiTheme="majorHAnsi" w:cs="Arial"/>
                <w:sz w:val="56"/>
                <w:szCs w:val="56"/>
              </w:rPr>
            </w:pPr>
            <w:r w:rsidRPr="006D512E">
              <w:rPr>
                <w:rFonts w:asciiTheme="majorHAnsi" w:hAnsiTheme="majorHAnsi" w:cs="Arial"/>
                <w:sz w:val="56"/>
                <w:szCs w:val="56"/>
              </w:rPr>
              <w:t>GE Free New Zealand</w:t>
            </w:r>
          </w:p>
          <w:p w14:paraId="6E676FE1" w14:textId="77777777" w:rsidR="00011637" w:rsidRPr="006D512E" w:rsidRDefault="00011637" w:rsidP="008047C4">
            <w:pPr>
              <w:rPr>
                <w:rFonts w:asciiTheme="majorHAnsi" w:hAnsiTheme="majorHAnsi" w:cs="Arial"/>
                <w:i/>
                <w:sz w:val="32"/>
              </w:rPr>
            </w:pPr>
            <w:r w:rsidRPr="006D512E">
              <w:rPr>
                <w:rFonts w:asciiTheme="majorHAnsi" w:hAnsiTheme="majorHAnsi" w:cs="Arial"/>
                <w:i/>
                <w:sz w:val="32"/>
              </w:rPr>
              <w:t>In Food And Environment Inc.</w:t>
            </w:r>
          </w:p>
          <w:p w14:paraId="113BEC99" w14:textId="77777777" w:rsidR="00011637" w:rsidRPr="006D512E" w:rsidRDefault="00011637" w:rsidP="008047C4">
            <w:pPr>
              <w:pStyle w:val="Heading2"/>
              <w:rPr>
                <w:rFonts w:asciiTheme="majorHAnsi" w:hAnsiTheme="majorHAnsi" w:cs="Arial"/>
                <w:sz w:val="24"/>
              </w:rPr>
            </w:pPr>
            <w:r w:rsidRPr="006D512E">
              <w:rPr>
                <w:rFonts w:asciiTheme="majorHAnsi" w:hAnsiTheme="majorHAnsi" w:cs="Arial"/>
                <w:sz w:val="24"/>
              </w:rPr>
              <w:t xml:space="preserve">PO Box 13402, Wellington, NZ </w:t>
            </w:r>
          </w:p>
          <w:p w14:paraId="42F065C0" w14:textId="77777777" w:rsidR="00011637" w:rsidRPr="006D512E" w:rsidRDefault="00011637" w:rsidP="008047C4">
            <w:r w:rsidRPr="006D512E">
              <w:rPr>
                <w:rFonts w:asciiTheme="majorHAnsi" w:hAnsiTheme="majorHAnsi" w:cs="Arial"/>
              </w:rPr>
              <w:t>Tel: 027 479 4195</w:t>
            </w:r>
          </w:p>
        </w:tc>
      </w:tr>
    </w:tbl>
    <w:p w14:paraId="37791B94" w14:textId="30CE0E44" w:rsidR="00126A07" w:rsidRPr="00816074" w:rsidRDefault="00F57BDC" w:rsidP="00126A07">
      <w:pPr>
        <w:rPr>
          <w:rFonts w:asciiTheme="minorHAnsi" w:hAnsiTheme="minorHAnsi" w:cstheme="minorHAnsi"/>
          <w:color w:val="000000" w:themeColor="text1"/>
        </w:rPr>
      </w:pPr>
      <w:r>
        <w:rPr>
          <w:rFonts w:asciiTheme="minorHAnsi" w:hAnsiTheme="minorHAnsi" w:cstheme="minorHAnsi"/>
          <w:color w:val="000000" w:themeColor="text1"/>
        </w:rPr>
        <w:t>16.1.2023</w:t>
      </w:r>
    </w:p>
    <w:p w14:paraId="4668646B" w14:textId="6C0617D9" w:rsidR="00126A07" w:rsidRPr="00F57BDC" w:rsidRDefault="00126A07" w:rsidP="00126A07">
      <w:pPr>
        <w:spacing w:before="120" w:after="120"/>
        <w:rPr>
          <w:rFonts w:asciiTheme="minorHAnsi" w:eastAsia="Times New Roman" w:hAnsiTheme="minorHAnsi" w:cstheme="minorHAnsi"/>
          <w:b/>
          <w:color w:val="000000" w:themeColor="text1"/>
        </w:rPr>
      </w:pPr>
      <w:r w:rsidRPr="00816074">
        <w:rPr>
          <w:rFonts w:asciiTheme="minorHAnsi" w:hAnsiTheme="minorHAnsi" w:cstheme="minorHAnsi"/>
          <w:b/>
          <w:color w:val="000000" w:themeColor="text1"/>
        </w:rPr>
        <w:t>Re: Application to reassess the insecticide Actar</w:t>
      </w:r>
      <w:r w:rsidRPr="00816074">
        <w:rPr>
          <w:rFonts w:asciiTheme="minorHAnsi" w:eastAsia="Times New Roman" w:hAnsiTheme="minorHAnsi" w:cstheme="minorHAnsi"/>
          <w:b/>
          <w:color w:val="000000" w:themeColor="text1"/>
        </w:rPr>
        <w:t>a</w:t>
      </w:r>
    </w:p>
    <w:p w14:paraId="2DE144DF" w14:textId="77777777" w:rsidR="00126A07" w:rsidRPr="00126A07" w:rsidRDefault="00126A07" w:rsidP="00F57BDC">
      <w:pPr>
        <w:spacing w:after="120"/>
        <w:rPr>
          <w:rFonts w:asciiTheme="minorHAnsi" w:hAnsiTheme="minorHAnsi" w:cstheme="minorHAnsi"/>
          <w:color w:val="000000" w:themeColor="text1"/>
        </w:rPr>
      </w:pPr>
      <w:r w:rsidRPr="00126A07">
        <w:rPr>
          <w:rFonts w:asciiTheme="minorHAnsi" w:hAnsiTheme="minorHAnsi" w:cstheme="majorHAnsi"/>
          <w:color w:val="000000" w:themeColor="text1"/>
        </w:rPr>
        <w:t>Tēnā koutou katoa</w:t>
      </w:r>
      <w:r w:rsidRPr="00126A07">
        <w:rPr>
          <w:rFonts w:asciiTheme="minorHAnsi" w:hAnsiTheme="minorHAnsi" w:cstheme="minorHAnsi"/>
          <w:color w:val="000000" w:themeColor="text1"/>
        </w:rPr>
        <w:t>,</w:t>
      </w:r>
    </w:p>
    <w:p w14:paraId="361BFD59" w14:textId="77777777" w:rsidR="00126A07" w:rsidRPr="00126A07" w:rsidRDefault="00126A07" w:rsidP="00F57BDC">
      <w:pPr>
        <w:spacing w:after="120"/>
        <w:rPr>
          <w:rFonts w:asciiTheme="minorHAnsi" w:hAnsiTheme="minorHAnsi" w:cstheme="minorHAnsi"/>
          <w:color w:val="000000" w:themeColor="text1"/>
        </w:rPr>
      </w:pPr>
      <w:r w:rsidRPr="00126A07">
        <w:rPr>
          <w:rFonts w:asciiTheme="minorHAnsi" w:hAnsiTheme="minorHAnsi" w:cstheme="minorHAnsi"/>
          <w:color w:val="000000" w:themeColor="text1"/>
        </w:rPr>
        <w:t>We ask that you take a precautionary approach and decline this application of increasing Actara applications and maintain the prohibition on applications when plants are flowering.</w:t>
      </w:r>
    </w:p>
    <w:p w14:paraId="6AD30D1B" w14:textId="131AB94E" w:rsidR="00126A07" w:rsidRPr="00126A07" w:rsidRDefault="00126A07" w:rsidP="00F57BDC">
      <w:pPr>
        <w:widowControl w:val="0"/>
        <w:autoSpaceDE w:val="0"/>
        <w:autoSpaceDN w:val="0"/>
        <w:adjustRightInd w:val="0"/>
        <w:spacing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We are making this submission as interested persons (s:54) </w:t>
      </w:r>
    </w:p>
    <w:p w14:paraId="5C68F412" w14:textId="77777777" w:rsidR="00F57BDC" w:rsidRPr="00126A07" w:rsidRDefault="00F57BDC" w:rsidP="00F57BDC">
      <w:pPr>
        <w:widowControl w:val="0"/>
        <w:autoSpaceDE w:val="0"/>
        <w:autoSpaceDN w:val="0"/>
        <w:adjustRightInd w:val="0"/>
        <w:spacing w:after="120"/>
        <w:rPr>
          <w:rFonts w:asciiTheme="minorHAnsi" w:hAnsiTheme="minorHAnsi" w:cstheme="minorHAnsi"/>
          <w:color w:val="000000" w:themeColor="text1"/>
        </w:rPr>
      </w:pPr>
      <w:r w:rsidRPr="00126A07">
        <w:rPr>
          <w:rFonts w:asciiTheme="minorHAnsi" w:hAnsiTheme="minorHAnsi" w:cstheme="minorHAnsi"/>
          <w:color w:val="000000" w:themeColor="text1"/>
        </w:rPr>
        <w:t>We are happy for our submission to be put online.</w:t>
      </w:r>
    </w:p>
    <w:p w14:paraId="3DAAB37A" w14:textId="161134C8" w:rsidR="00126A07" w:rsidRPr="00126A07" w:rsidRDefault="00F57BDC" w:rsidP="00F57BDC">
      <w:pPr>
        <w:spacing w:after="120"/>
        <w:rPr>
          <w:rFonts w:asciiTheme="minorHAnsi" w:hAnsiTheme="minorHAnsi" w:cstheme="minorHAnsi"/>
          <w:color w:val="000000" w:themeColor="text1"/>
        </w:rPr>
      </w:pPr>
      <w:r w:rsidRPr="00126A07">
        <w:rPr>
          <w:rFonts w:asciiTheme="minorHAnsi" w:hAnsiTheme="minorHAnsi" w:cstheme="minorHAnsi"/>
          <w:color w:val="000000" w:themeColor="text1"/>
        </w:rPr>
        <w:t>We would like to be heard.</w:t>
      </w:r>
    </w:p>
    <w:p w14:paraId="0C2ACF02" w14:textId="7DBED191" w:rsidR="00126A07" w:rsidRPr="00126A07" w:rsidRDefault="00126A07" w:rsidP="00F57BDC">
      <w:pPr>
        <w:widowControl w:val="0"/>
        <w:autoSpaceDE w:val="0"/>
        <w:autoSpaceDN w:val="0"/>
        <w:adjustRightInd w:val="0"/>
        <w:spacing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THE EPA Actara Neonicotinoid reassessment has been publically notified under the Hazardous Substances and New Organisms Act (HSNO) section 63 (2).  This consideration evaluates Actara as if it was a new application under s: 29.  </w:t>
      </w:r>
    </w:p>
    <w:p w14:paraId="61543C0B" w14:textId="77777777" w:rsidR="00126A07" w:rsidRPr="00126A07" w:rsidRDefault="00126A07" w:rsidP="00F57BDC">
      <w:pPr>
        <w:widowControl w:val="0"/>
        <w:autoSpaceDE w:val="0"/>
        <w:autoSpaceDN w:val="0"/>
        <w:adjustRightInd w:val="0"/>
        <w:spacing w:after="120"/>
        <w:rPr>
          <w:rFonts w:asciiTheme="minorHAnsi" w:hAnsiTheme="minorHAnsi" w:cstheme="minorHAnsi"/>
          <w:color w:val="000000" w:themeColor="text1"/>
        </w:rPr>
      </w:pPr>
      <w:r w:rsidRPr="00126A07">
        <w:rPr>
          <w:rFonts w:asciiTheme="minorHAnsi" w:hAnsiTheme="minorHAnsi" w:cstheme="minorHAnsi"/>
          <w:color w:val="000000" w:themeColor="text1"/>
        </w:rPr>
        <w:t>The EPA is charged with avoiding the adverse effects of hazardous substances; with safeguarding the life supporting capacity of the air, water in relation to the sustainability of native and valued introduced flora and fauna soil and ecosystems. (HSNO s: 5, 6, &amp; 7)</w:t>
      </w:r>
    </w:p>
    <w:p w14:paraId="2DDBD39E" w14:textId="77777777" w:rsidR="00126A07" w:rsidRPr="00126A07" w:rsidRDefault="00126A07" w:rsidP="00126A07">
      <w:pPr>
        <w:numPr>
          <w:ilvl w:val="0"/>
          <w:numId w:val="4"/>
        </w:numPr>
        <w:spacing w:before="120" w:after="120"/>
        <w:rPr>
          <w:rFonts w:asciiTheme="minorHAnsi" w:hAnsiTheme="minorHAnsi" w:cstheme="minorHAnsi"/>
          <w:b/>
          <w:color w:val="000000" w:themeColor="text1"/>
        </w:rPr>
      </w:pPr>
      <w:r w:rsidRPr="00126A07">
        <w:rPr>
          <w:rFonts w:asciiTheme="minorHAnsi" w:hAnsiTheme="minorHAnsi" w:cstheme="minorHAnsi"/>
          <w:b/>
          <w:color w:val="000000" w:themeColor="text1"/>
        </w:rPr>
        <w:t>Application to increase number of sprays</w:t>
      </w:r>
    </w:p>
    <w:p w14:paraId="65522DA3" w14:textId="77777777"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Actara contains the active ingredient thiamethoxam, a neonicotinoid insecticide, and is currently approved in New Zealand with strict controls.</w:t>
      </w:r>
    </w:p>
    <w:p w14:paraId="1CADACDE" w14:textId="77777777"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The applicant states that the brown marmorated stinkbug is one of the highest-risk biosecurity threats currently facing New Zealand, as it can cause significant damage to many important horticultural crops. It is also a significant social nuisance pest that can adversely impact personal wellbeing.  Due to this they are applying for an increase in maximum applications from 4 to 19 in one target area per annum and ask for an exemption on the </w:t>
      </w:r>
      <w:r w:rsidRPr="00126A07">
        <w:rPr>
          <w:rFonts w:asciiTheme="minorHAnsi" w:eastAsia="Times New Roman" w:hAnsiTheme="minorHAnsi" w:cstheme="minorHAnsi"/>
          <w:color w:val="000000" w:themeColor="text1"/>
        </w:rPr>
        <w:t xml:space="preserve">prohibiting of applications where bees are foraging or on plants that are in flower or likely to flower. </w:t>
      </w:r>
    </w:p>
    <w:p w14:paraId="4DCD94A4" w14:textId="77777777"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The brown marmorated stinkbug, however, is not in New Zealand.  Any approval to increase the application rates from 4 a year to 19 times will endanger the environment, foods, bees and non-target insects.  </w:t>
      </w:r>
    </w:p>
    <w:p w14:paraId="62CC492B" w14:textId="77777777"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Actara label shows that thiamethoxam is 25% of the formulation, sodium salt and diatomaceous earth are less that 5% and other ingredients make up 70%.  It has been shown that adjuvants increase the efficiency and toxicity of active ingredients.  As 70% of the adjuvants are unknown this is unable to be assessed for safety.</w:t>
      </w:r>
    </w:p>
    <w:p w14:paraId="034DEAA7" w14:textId="76E2BD22" w:rsidR="008F4311" w:rsidRPr="003F7C4A" w:rsidRDefault="00126A07" w:rsidP="008F4311">
      <w:pPr>
        <w:rPr>
          <w:rFonts w:asciiTheme="minorHAnsi" w:hAnsiTheme="minorHAnsi" w:cstheme="minorHAnsi"/>
          <w:color w:val="000000" w:themeColor="text1"/>
        </w:rPr>
      </w:pPr>
      <w:r w:rsidRPr="00126A07">
        <w:rPr>
          <w:rFonts w:asciiTheme="minorHAnsi" w:hAnsiTheme="minorHAnsi" w:cstheme="minorHAnsi"/>
          <w:color w:val="000000" w:themeColor="text1"/>
        </w:rPr>
        <w:lastRenderedPageBreak/>
        <w:t>Vieira J.L et al (2022)</w:t>
      </w:r>
      <w:r w:rsidRPr="00126A07">
        <w:rPr>
          <w:rStyle w:val="FootnoteReference"/>
          <w:rFonts w:asciiTheme="minorHAnsi" w:hAnsiTheme="minorHAnsi" w:cstheme="minorHAnsi"/>
          <w:color w:val="000000" w:themeColor="text1"/>
        </w:rPr>
        <w:t xml:space="preserve"> </w:t>
      </w:r>
      <w:r w:rsidRPr="00126A07">
        <w:rPr>
          <w:rStyle w:val="FootnoteReference"/>
          <w:rFonts w:asciiTheme="minorHAnsi" w:hAnsiTheme="minorHAnsi" w:cstheme="minorHAnsi"/>
          <w:color w:val="000000" w:themeColor="text1"/>
        </w:rPr>
        <w:footnoteReference w:id="1"/>
      </w:r>
      <w:r w:rsidRPr="00126A07">
        <w:rPr>
          <w:rFonts w:asciiTheme="minorHAnsi" w:hAnsiTheme="minorHAnsi" w:cstheme="minorHAnsi"/>
          <w:color w:val="000000" w:themeColor="text1"/>
        </w:rPr>
        <w:t xml:space="preserve">  has found evidence that rice stink bugs have become resistant to thiamethoxam. An increase of applications will become a persistent contaminant in the environment as well as destroying beneficial insects but over time resistance will nullify Actara’s effectiveness.</w:t>
      </w:r>
      <w:r w:rsidR="008F4311">
        <w:rPr>
          <w:rFonts w:asciiTheme="minorHAnsi" w:hAnsiTheme="minorHAnsi" w:cstheme="minorHAnsi"/>
          <w:color w:val="000000" w:themeColor="text1"/>
        </w:rPr>
        <w:t xml:space="preserve"> </w:t>
      </w:r>
      <w:r w:rsidR="00575E8D">
        <w:rPr>
          <w:rFonts w:asciiTheme="minorHAnsi" w:hAnsiTheme="minorHAnsi" w:cstheme="minorHAnsi"/>
          <w:color w:val="000000" w:themeColor="text1"/>
        </w:rPr>
        <w:t>Dr Guedes</w:t>
      </w:r>
      <w:r w:rsidR="008F4311">
        <w:rPr>
          <w:rFonts w:asciiTheme="minorHAnsi" w:hAnsiTheme="minorHAnsi" w:cstheme="minorHAnsi"/>
          <w:color w:val="000000" w:themeColor="text1"/>
        </w:rPr>
        <w:t xml:space="preserve"> has commented on the EPA application saying </w:t>
      </w:r>
      <w:r w:rsidR="008F4311" w:rsidRPr="008F4311">
        <w:rPr>
          <w:rFonts w:asciiTheme="minorHAnsi" w:hAnsiTheme="minorHAnsi" w:cstheme="minorHAnsi"/>
          <w:color w:val="000000" w:themeColor="text1"/>
        </w:rPr>
        <w:t>“</w:t>
      </w:r>
      <w:r w:rsidR="008F4311" w:rsidRPr="008F4311">
        <w:rPr>
          <w:rFonts w:ascii="Cambria" w:eastAsia="Times New Roman" w:hAnsi="Cambria" w:cs="Times New Roman"/>
          <w:color w:val="000000"/>
          <w:lang w:val="en-NZ" w:eastAsia="en-GB"/>
        </w:rPr>
        <w:t>The indicated increase in application is indeed significant and requires careful consideration.</w:t>
      </w:r>
      <w:r w:rsidR="008F4311">
        <w:rPr>
          <w:rFonts w:asciiTheme="minorHAnsi" w:hAnsiTheme="minorHAnsi" w:cstheme="minorHAnsi"/>
          <w:color w:val="000000" w:themeColor="text1"/>
        </w:rPr>
        <w:t xml:space="preserve"> “</w:t>
      </w:r>
    </w:p>
    <w:p w14:paraId="2BA9783A" w14:textId="243CEBFB"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Syngenta’s Actara SDS sheet spray programme for use in Apples, Kiwi Fruit, potatoes, pears all state that they should only have 1-2 applications per year. </w:t>
      </w:r>
      <w:r w:rsidRPr="00126A07">
        <w:rPr>
          <w:rStyle w:val="FootnoteReference"/>
          <w:rFonts w:asciiTheme="minorHAnsi" w:hAnsiTheme="minorHAnsi" w:cstheme="minorHAnsi"/>
          <w:color w:val="000000" w:themeColor="text1"/>
        </w:rPr>
        <w:footnoteReference w:id="2"/>
      </w:r>
      <w:r w:rsidRPr="00126A07">
        <w:rPr>
          <w:rFonts w:asciiTheme="minorHAnsi" w:hAnsiTheme="minorHAnsi" w:cstheme="minorHAnsi"/>
          <w:color w:val="000000" w:themeColor="text1"/>
        </w:rPr>
        <w:t xml:space="preserve"> </w:t>
      </w:r>
      <w:r w:rsidR="00590059">
        <w:rPr>
          <w:rFonts w:asciiTheme="minorHAnsi" w:hAnsiTheme="minorHAnsi" w:cstheme="minorHAnsi"/>
          <w:color w:val="000000" w:themeColor="text1"/>
        </w:rPr>
        <w:t xml:space="preserve"> </w:t>
      </w:r>
      <w:r w:rsidRPr="00126A07">
        <w:rPr>
          <w:rFonts w:asciiTheme="minorHAnsi" w:hAnsiTheme="minorHAnsi" w:cstheme="minorHAnsi"/>
          <w:color w:val="000000" w:themeColor="text1"/>
        </w:rPr>
        <w:t xml:space="preserve">The applicant has not produced any reason for this 4.5-fold increase on these plants and whether it would be effective.  The generic application is broad and does not limit where, on what and when it can be used.  </w:t>
      </w:r>
    </w:p>
    <w:p w14:paraId="1F761AF8" w14:textId="77777777"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There is confirmed research on the persistent and toxic effect of Actara’s active ingredient thiamethoxam and its breakdown metabolite clothianidin.  Clothianidin is extremely persistent in the environment. Actara’s systemic residues pose a danger to the rhizosphere and ecosystems of organisms in the soil and have the </w:t>
      </w:r>
      <w:r w:rsidRPr="00126A07">
        <w:rPr>
          <w:rFonts w:asciiTheme="minorHAnsi" w:eastAsia="Times New Roman" w:hAnsiTheme="minorHAnsi" w:cstheme="minorHAnsi"/>
          <w:color w:val="000000" w:themeColor="text1"/>
          <w:shd w:val="clear" w:color="auto" w:fill="FFFFFF"/>
        </w:rPr>
        <w:t xml:space="preserve">potential to cause unacceptable adverse effects to bees </w:t>
      </w:r>
      <w:r w:rsidRPr="00126A07">
        <w:rPr>
          <w:rFonts w:asciiTheme="minorHAnsi" w:hAnsiTheme="minorHAnsi" w:cstheme="minorHAnsi"/>
          <w:color w:val="000000" w:themeColor="text1"/>
        </w:rPr>
        <w:t xml:space="preserve">and non-target insects.  </w:t>
      </w:r>
    </w:p>
    <w:p w14:paraId="10F56407" w14:textId="337F8788" w:rsid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Clear specifications are given on restrictions for rotational crops; </w:t>
      </w:r>
      <w:r w:rsidRPr="00126A07">
        <w:rPr>
          <w:rFonts w:asciiTheme="minorHAnsi" w:eastAsia="Times New Roman" w:hAnsiTheme="minorHAnsi" w:cstheme="minorHAnsi"/>
          <w:color w:val="000000" w:themeColor="text1"/>
          <w:shd w:val="clear" w:color="auto" w:fill="FFFFFF"/>
        </w:rPr>
        <w:t>for cover crop plants must not be grazed for food or feed and all other crops must have a 120day (3 month) plant back interval. </w:t>
      </w:r>
      <w:r w:rsidRPr="00126A07">
        <w:rPr>
          <w:rFonts w:asciiTheme="minorHAnsi" w:hAnsiTheme="minorHAnsi" w:cstheme="minorHAnsi"/>
          <w:color w:val="000000" w:themeColor="text1"/>
        </w:rPr>
        <w:t>These restrictions show that there are persistent residues that have a serious effect on the health of the plant and ecosystems.</w:t>
      </w:r>
    </w:p>
    <w:p w14:paraId="46353C13" w14:textId="4E67BF27" w:rsidR="008F4311" w:rsidRDefault="003F7C4A" w:rsidP="00126A07">
      <w:pPr>
        <w:spacing w:before="120" w:after="120"/>
        <w:rPr>
          <w:rFonts w:asciiTheme="minorHAnsi" w:hAnsiTheme="minorHAnsi" w:cstheme="minorHAnsi"/>
          <w:color w:val="000000" w:themeColor="text1"/>
        </w:rPr>
      </w:pPr>
      <w:r>
        <w:rPr>
          <w:rFonts w:asciiTheme="minorHAnsi" w:hAnsiTheme="minorHAnsi" w:cstheme="minorHAnsi"/>
          <w:color w:val="000000" w:themeColor="text1"/>
        </w:rPr>
        <w:t>Garcia-Valcarcel A.I et al</w:t>
      </w:r>
      <w:r>
        <w:rPr>
          <w:rStyle w:val="FootnoteReference"/>
          <w:rFonts w:asciiTheme="minorHAnsi" w:hAnsiTheme="minorHAnsi" w:cstheme="minorHAnsi"/>
          <w:color w:val="000000" w:themeColor="text1"/>
        </w:rPr>
        <w:footnoteReference w:id="3"/>
      </w:r>
      <w:r>
        <w:rPr>
          <w:rFonts w:asciiTheme="minorHAnsi" w:hAnsiTheme="minorHAnsi" w:cstheme="minorHAnsi"/>
          <w:color w:val="000000" w:themeColor="text1"/>
        </w:rPr>
        <w:t xml:space="preserve">  (2022) detected thiamethoxam and clothia</w:t>
      </w:r>
      <w:r w:rsidR="0025405D">
        <w:rPr>
          <w:rFonts w:asciiTheme="minorHAnsi" w:hAnsiTheme="minorHAnsi" w:cstheme="minorHAnsi"/>
          <w:color w:val="000000" w:themeColor="text1"/>
        </w:rPr>
        <w:t>ni</w:t>
      </w:r>
      <w:r>
        <w:rPr>
          <w:rFonts w:asciiTheme="minorHAnsi" w:hAnsiTheme="minorHAnsi" w:cstheme="minorHAnsi"/>
          <w:color w:val="000000" w:themeColor="text1"/>
        </w:rPr>
        <w:t>din residues</w:t>
      </w:r>
      <w:r w:rsidR="0063614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in non-sprayed </w:t>
      </w:r>
      <w:r w:rsidR="0063614C">
        <w:rPr>
          <w:rFonts w:asciiTheme="minorHAnsi" w:hAnsiTheme="minorHAnsi" w:cstheme="minorHAnsi"/>
          <w:color w:val="000000" w:themeColor="text1"/>
        </w:rPr>
        <w:t>wildflowers</w:t>
      </w:r>
      <w:r>
        <w:rPr>
          <w:rFonts w:asciiTheme="minorHAnsi" w:hAnsiTheme="minorHAnsi" w:cstheme="minorHAnsi"/>
          <w:color w:val="000000" w:themeColor="text1"/>
        </w:rPr>
        <w:t xml:space="preserve"> grown alongside neonicotinoid sprayed plants.</w:t>
      </w:r>
    </w:p>
    <w:p w14:paraId="72960AAF" w14:textId="59B5ABC8" w:rsidR="00100BD2" w:rsidRDefault="00BD7A40" w:rsidP="00BD7A40">
      <w:pPr>
        <w:spacing w:before="100" w:beforeAutospacing="1" w:after="100" w:afterAutospacing="1"/>
        <w:rPr>
          <w:rFonts w:asciiTheme="minorHAnsi" w:eastAsia="Times New Roman" w:hAnsiTheme="minorHAnsi" w:cs="Times New Roman"/>
          <w:lang w:val="en-NZ" w:eastAsia="en-GB"/>
        </w:rPr>
      </w:pPr>
      <w:r w:rsidRPr="00100BD2">
        <w:rPr>
          <w:rFonts w:asciiTheme="minorHAnsi" w:eastAsia="Times New Roman" w:hAnsiTheme="minorHAnsi" w:cs="Times New Roman"/>
          <w:lang w:val="en-NZ" w:eastAsia="en-GB"/>
        </w:rPr>
        <w:t xml:space="preserve">Actara will be </w:t>
      </w:r>
      <w:r w:rsidR="00100BD2" w:rsidRPr="00100BD2">
        <w:rPr>
          <w:rFonts w:asciiTheme="minorHAnsi" w:eastAsia="Times New Roman" w:hAnsiTheme="minorHAnsi" w:cs="Times New Roman"/>
          <w:lang w:val="en-NZ" w:eastAsia="en-GB"/>
        </w:rPr>
        <w:t xml:space="preserve">applied in the warmer months for the year. </w:t>
      </w:r>
      <w:proofErr w:type="spellStart"/>
      <w:r w:rsidR="00100BD2">
        <w:rPr>
          <w:rFonts w:asciiTheme="minorHAnsi" w:eastAsia="Times New Roman" w:hAnsiTheme="minorHAnsi" w:cs="Times New Roman"/>
          <w:lang w:val="en-NZ" w:eastAsia="en-GB"/>
        </w:rPr>
        <w:t>Paunescu</w:t>
      </w:r>
      <w:proofErr w:type="spellEnd"/>
      <w:r w:rsidR="00100BD2">
        <w:rPr>
          <w:rFonts w:asciiTheme="minorHAnsi" w:eastAsia="Times New Roman" w:hAnsiTheme="minorHAnsi" w:cs="Times New Roman"/>
          <w:lang w:val="en-NZ" w:eastAsia="en-GB"/>
        </w:rPr>
        <w:t xml:space="preserve"> A., </w:t>
      </w:r>
      <w:r w:rsidR="00100BD2" w:rsidRPr="00100BD2">
        <w:rPr>
          <w:rFonts w:asciiTheme="minorHAnsi" w:eastAsia="Times New Roman" w:hAnsiTheme="minorHAnsi" w:cs="Times New Roman"/>
          <w:i/>
          <w:iCs/>
          <w:lang w:val="en-NZ" w:eastAsia="en-GB"/>
        </w:rPr>
        <w:t xml:space="preserve">et al </w:t>
      </w:r>
      <w:r w:rsidR="00100BD2">
        <w:rPr>
          <w:rFonts w:asciiTheme="minorHAnsi" w:eastAsia="Times New Roman" w:hAnsiTheme="minorHAnsi" w:cs="Times New Roman"/>
          <w:lang w:val="en-NZ" w:eastAsia="en-GB"/>
        </w:rPr>
        <w:t>(2022)</w:t>
      </w:r>
      <w:r w:rsidR="00100BD2">
        <w:rPr>
          <w:rStyle w:val="FootnoteReference"/>
          <w:rFonts w:asciiTheme="minorHAnsi" w:eastAsia="Times New Roman" w:hAnsiTheme="minorHAnsi" w:cs="Times New Roman"/>
          <w:lang w:val="en-NZ" w:eastAsia="en-GB"/>
        </w:rPr>
        <w:footnoteReference w:id="4"/>
      </w:r>
      <w:r w:rsidR="00100BD2">
        <w:rPr>
          <w:rFonts w:asciiTheme="minorHAnsi" w:eastAsia="Times New Roman" w:hAnsiTheme="minorHAnsi" w:cs="Times New Roman"/>
          <w:lang w:val="en-NZ" w:eastAsia="en-GB"/>
        </w:rPr>
        <w:t xml:space="preserve"> study on fish and frogs found deleterious effects in warmer weather.  New Zealand already has highly endangered frogs and fish any further threat to them could lead to their extinction.  </w:t>
      </w:r>
    </w:p>
    <w:p w14:paraId="310B2268" w14:textId="77777777" w:rsidR="00126A07" w:rsidRPr="00126A07" w:rsidRDefault="00126A07" w:rsidP="00126A07">
      <w:pPr>
        <w:spacing w:before="120" w:after="120"/>
        <w:rPr>
          <w:rFonts w:asciiTheme="minorHAnsi" w:eastAsia="Times New Roman" w:hAnsiTheme="minorHAnsi" w:cstheme="minorHAnsi"/>
          <w:color w:val="000000" w:themeColor="text1"/>
          <w:shd w:val="clear" w:color="auto" w:fill="FFFFFF"/>
        </w:rPr>
      </w:pPr>
      <w:r w:rsidRPr="00126A07">
        <w:rPr>
          <w:rFonts w:asciiTheme="minorHAnsi" w:hAnsiTheme="minorHAnsi" w:cstheme="minorHAnsi"/>
          <w:color w:val="000000" w:themeColor="text1"/>
        </w:rPr>
        <w:t xml:space="preserve">The toxic effects on the environment and pollinator insects have caused it to be banned in the EU.  </w:t>
      </w:r>
      <w:r w:rsidRPr="00126A07">
        <w:rPr>
          <w:rFonts w:asciiTheme="minorHAnsi" w:eastAsia="Times New Roman" w:hAnsiTheme="minorHAnsi" w:cstheme="minorHAnsi"/>
          <w:color w:val="000000" w:themeColor="text1"/>
          <w:shd w:val="clear" w:color="auto" w:fill="FFFFFF"/>
        </w:rPr>
        <w:t xml:space="preserve">The Commission Implementing Regulation (EU) 2018/785 has severely restricted the use of the insecticide thiamethoxam by only allowing its use </w:t>
      </w:r>
      <w:r w:rsidRPr="00126A07">
        <w:rPr>
          <w:rFonts w:asciiTheme="minorHAnsi" w:eastAsia="Times New Roman" w:hAnsiTheme="minorHAnsi" w:cstheme="minorHAnsi"/>
          <w:color w:val="000000" w:themeColor="text1"/>
          <w:shd w:val="clear" w:color="auto" w:fill="FFFFFF"/>
        </w:rPr>
        <w:lastRenderedPageBreak/>
        <w:t xml:space="preserve">in permanent greenhouses or for the treatment of seeds that are to be used only in permanent greenhouses. The resulting crop has to stay within a permanent greenhouse during its entire life cycle.  The </w:t>
      </w:r>
      <w:r w:rsidRPr="00126A07">
        <w:rPr>
          <w:rFonts w:asciiTheme="minorHAnsi" w:hAnsiTheme="minorHAnsi" w:cstheme="minorHAnsi"/>
          <w:color w:val="000000" w:themeColor="text1"/>
        </w:rPr>
        <w:t>Authority’s risk assessment for bees and of all the available pertinent information, there is currently no evidence that would allow any outdoor uses for clothianidin and thiamethoxam to be considered as safe for bees.</w:t>
      </w:r>
      <w:r w:rsidRPr="00126A07">
        <w:rPr>
          <w:rStyle w:val="FootnoteReference"/>
          <w:rFonts w:asciiTheme="minorHAnsi" w:hAnsiTheme="minorHAnsi" w:cstheme="minorHAnsi"/>
          <w:color w:val="000000" w:themeColor="text1"/>
          <w:shd w:val="clear" w:color="auto" w:fill="FFFFFF"/>
        </w:rPr>
        <w:t xml:space="preserve"> </w:t>
      </w:r>
      <w:r w:rsidRPr="00126A07">
        <w:rPr>
          <w:rStyle w:val="FootnoteReference"/>
          <w:rFonts w:asciiTheme="minorHAnsi" w:hAnsiTheme="minorHAnsi" w:cstheme="minorHAnsi"/>
          <w:color w:val="000000" w:themeColor="text1"/>
          <w:shd w:val="clear" w:color="auto" w:fill="FFFFFF"/>
        </w:rPr>
        <w:footnoteReference w:id="5"/>
      </w:r>
    </w:p>
    <w:p w14:paraId="1333BCA9" w14:textId="29D9E2C8"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Health Canada has severely restricted thiamethoxam </w:t>
      </w:r>
      <w:r w:rsidR="00893D6F">
        <w:rPr>
          <w:rFonts w:asciiTheme="minorHAnsi" w:hAnsiTheme="minorHAnsi" w:cstheme="minorHAnsi"/>
          <w:color w:val="000000" w:themeColor="text1"/>
        </w:rPr>
        <w:t>in</w:t>
      </w:r>
      <w:r w:rsidRPr="00126A07">
        <w:rPr>
          <w:rFonts w:asciiTheme="minorHAnsi" w:hAnsiTheme="minorHAnsi" w:cstheme="minorHAnsi"/>
          <w:color w:val="000000" w:themeColor="text1"/>
        </w:rPr>
        <w:t xml:space="preserve"> field applications. </w:t>
      </w:r>
      <w:r w:rsidRPr="00126A07">
        <w:rPr>
          <w:rStyle w:val="FootnoteReference"/>
          <w:rFonts w:asciiTheme="minorHAnsi" w:hAnsiTheme="minorHAnsi" w:cstheme="minorHAnsi"/>
          <w:color w:val="000000" w:themeColor="text1"/>
        </w:rPr>
        <w:footnoteReference w:id="6"/>
      </w:r>
      <w:r w:rsidR="00893D6F">
        <w:rPr>
          <w:rFonts w:asciiTheme="minorHAnsi" w:hAnsiTheme="minorHAnsi" w:cstheme="minorHAnsi"/>
          <w:color w:val="000000" w:themeColor="text1"/>
        </w:rPr>
        <w:t xml:space="preserve"> </w:t>
      </w:r>
      <w:r w:rsidRPr="00126A07">
        <w:rPr>
          <w:rFonts w:asciiTheme="minorHAnsi" w:hAnsiTheme="minorHAnsi" w:cstheme="minorHAnsi"/>
          <w:color w:val="000000" w:themeColor="text1"/>
        </w:rPr>
        <w:t>The maximum number of foliar applications of thiamethoxam on potatoes has been reduced to one per year.  The labels for products containing thiamethoxam and/or clothianidin will also include new or revised spray buffer zones around freshwater and terrestrial habitats.</w:t>
      </w:r>
    </w:p>
    <w:p w14:paraId="42D960CF" w14:textId="77777777" w:rsidR="00126A07" w:rsidRPr="00126A07" w:rsidRDefault="00126A07" w:rsidP="00126A07">
      <w:pPr>
        <w:numPr>
          <w:ilvl w:val="0"/>
          <w:numId w:val="4"/>
        </w:numPr>
        <w:rPr>
          <w:rFonts w:asciiTheme="minorHAnsi" w:hAnsiTheme="minorHAnsi" w:cstheme="minorHAnsi"/>
          <w:b/>
          <w:color w:val="000000" w:themeColor="text1"/>
        </w:rPr>
      </w:pPr>
      <w:r w:rsidRPr="00126A07">
        <w:rPr>
          <w:rFonts w:asciiTheme="minorHAnsi" w:hAnsiTheme="minorHAnsi" w:cstheme="minorHAnsi"/>
          <w:b/>
          <w:color w:val="000000" w:themeColor="text1"/>
        </w:rPr>
        <w:t>Effects on Honeybees and Bumble bees.</w:t>
      </w:r>
    </w:p>
    <w:p w14:paraId="2863AEA1" w14:textId="77777777" w:rsidR="00126A07" w:rsidRPr="00126A07" w:rsidRDefault="00126A07" w:rsidP="00590059">
      <w:pPr>
        <w:spacing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The call to remove the prohibition on Actara applications where there are flowering plants is irresponsible and dangerous to pollinator insects especially bees and will have the possibility of endangering a whole industry.  </w:t>
      </w:r>
    </w:p>
    <w:p w14:paraId="132F30A1" w14:textId="7FEEEB01" w:rsidR="00126A07" w:rsidRDefault="00126A07" w:rsidP="00590059">
      <w:pPr>
        <w:spacing w:after="120"/>
        <w:rPr>
          <w:rFonts w:asciiTheme="minorHAnsi" w:hAnsiTheme="minorHAnsi" w:cstheme="minorHAnsi"/>
          <w:color w:val="000000" w:themeColor="text1"/>
        </w:rPr>
      </w:pPr>
      <w:r w:rsidRPr="00126A07">
        <w:rPr>
          <w:rFonts w:asciiTheme="minorHAnsi" w:hAnsiTheme="minorHAnsi" w:cstheme="minorHAnsi"/>
          <w:color w:val="000000" w:themeColor="text1"/>
        </w:rPr>
        <w:t xml:space="preserve">Thiamethoxam is linked to serious toxicity causing death to bees.  </w:t>
      </w:r>
      <w:r w:rsidRPr="00126A07">
        <w:rPr>
          <w:rFonts w:asciiTheme="minorHAnsi" w:eastAsia="Times New Roman" w:hAnsiTheme="minorHAnsi" w:cstheme="minorHAnsi"/>
          <w:color w:val="000000" w:themeColor="text1"/>
        </w:rPr>
        <w:t>Land Care Research has identified many New Zealand insects and birds that play an important role in pollination.</w:t>
      </w:r>
      <w:r w:rsidRPr="00126A07">
        <w:rPr>
          <w:rStyle w:val="FootnoteReference"/>
          <w:rFonts w:asciiTheme="minorHAnsi" w:hAnsiTheme="minorHAnsi" w:cstheme="minorHAnsi"/>
          <w:color w:val="000000" w:themeColor="text1"/>
        </w:rPr>
        <w:footnoteReference w:id="7"/>
      </w:r>
      <w:r w:rsidRPr="00126A07">
        <w:rPr>
          <w:rFonts w:asciiTheme="minorHAnsi" w:eastAsia="Times New Roman" w:hAnsiTheme="minorHAnsi" w:cstheme="minorHAnsi"/>
          <w:color w:val="000000" w:themeColor="text1"/>
        </w:rPr>
        <w:t xml:space="preserve">  </w:t>
      </w:r>
      <w:r w:rsidRPr="00126A07">
        <w:rPr>
          <w:rFonts w:asciiTheme="minorHAnsi" w:hAnsiTheme="minorHAnsi" w:cstheme="minorHAnsi"/>
          <w:color w:val="000000" w:themeColor="text1"/>
        </w:rPr>
        <w:t xml:space="preserve">The applicant has not submitted any research on the effects of Thiamethoxam on native insects especially as it has been found native bees are the main pollinators of New Zealand indigenous flora. This lack of data is a threat to indigenous pollinators and all the adverse effects of this increase must be taken into account when considering this application. </w:t>
      </w:r>
    </w:p>
    <w:p w14:paraId="287E2546" w14:textId="15E2CF85" w:rsidR="00036701" w:rsidRPr="00590059" w:rsidRDefault="00CF27BB" w:rsidP="00590059">
      <w:pPr>
        <w:pStyle w:val="Heading2"/>
        <w:shd w:val="clear" w:color="auto" w:fill="FFFFFF"/>
        <w:spacing w:after="120"/>
        <w:rPr>
          <w:rFonts w:asciiTheme="minorHAnsi" w:hAnsiTheme="minorHAnsi" w:cstheme="minorHAnsi"/>
          <w:color w:val="000000" w:themeColor="text1"/>
          <w:sz w:val="24"/>
          <w:szCs w:val="24"/>
          <w:u w:val="none"/>
        </w:rPr>
      </w:pPr>
      <w:r w:rsidRPr="00126A07">
        <w:rPr>
          <w:rFonts w:asciiTheme="minorHAnsi" w:hAnsiTheme="minorHAnsi" w:cstheme="minorHAnsi"/>
          <w:b w:val="0"/>
          <w:bCs/>
          <w:color w:val="000000" w:themeColor="text1"/>
          <w:sz w:val="24"/>
          <w:szCs w:val="24"/>
          <w:u w:val="none"/>
        </w:rPr>
        <w:t>Bees also feed on early morning water or “guttation” droplets or plant exudates.  It has been found that neonicotinoids are present at toxic levels in “guttation droplets” causing neurotoxicity and inability to find their way home.   These have been linked to bee colony collapse.</w:t>
      </w:r>
      <w:r w:rsidRPr="00126A07">
        <w:rPr>
          <w:rFonts w:asciiTheme="minorHAnsi" w:hAnsiTheme="minorHAnsi" w:cstheme="minorHAnsi"/>
          <w:color w:val="000000" w:themeColor="text1"/>
          <w:sz w:val="24"/>
          <w:szCs w:val="24"/>
          <w:u w:val="none"/>
        </w:rPr>
        <w:t xml:space="preserve"> </w:t>
      </w:r>
    </w:p>
    <w:p w14:paraId="36C9022F" w14:textId="719FF978" w:rsidR="00036701" w:rsidRDefault="00590059" w:rsidP="00590059">
      <w:pPr>
        <w:pStyle w:val="NormalWeb"/>
        <w:spacing w:before="0" w:beforeAutospacing="0" w:after="120" w:afterAutospacing="0"/>
        <w:rPr>
          <w:rFonts w:asciiTheme="minorHAnsi" w:eastAsia="Times New Roman" w:hAnsiTheme="minorHAnsi"/>
          <w:sz w:val="24"/>
          <w:szCs w:val="24"/>
          <w:lang w:eastAsia="en-GB"/>
        </w:rPr>
      </w:pPr>
      <w:r>
        <w:rPr>
          <w:rFonts w:asciiTheme="minorHAnsi" w:eastAsia="Times New Roman" w:hAnsiTheme="minorHAnsi"/>
          <w:sz w:val="24"/>
          <w:szCs w:val="24"/>
          <w:lang w:eastAsia="en-GB"/>
        </w:rPr>
        <w:t>Dr</w:t>
      </w:r>
      <w:r w:rsidR="00036701">
        <w:rPr>
          <w:rFonts w:asciiTheme="minorHAnsi" w:eastAsia="Times New Roman" w:hAnsiTheme="minorHAnsi"/>
          <w:sz w:val="24"/>
          <w:szCs w:val="24"/>
          <w:lang w:eastAsia="en-GB"/>
        </w:rPr>
        <w:t xml:space="preserve"> Scott Elias, Institute of Artic and Alpine </w:t>
      </w:r>
      <w:r>
        <w:rPr>
          <w:rFonts w:asciiTheme="minorHAnsi" w:eastAsia="Times New Roman" w:hAnsiTheme="minorHAnsi"/>
          <w:sz w:val="24"/>
          <w:szCs w:val="24"/>
          <w:lang w:eastAsia="en-GB"/>
        </w:rPr>
        <w:t>R</w:t>
      </w:r>
      <w:r w:rsidR="00036701">
        <w:rPr>
          <w:rFonts w:asciiTheme="minorHAnsi" w:eastAsia="Times New Roman" w:hAnsiTheme="minorHAnsi"/>
          <w:sz w:val="24"/>
          <w:szCs w:val="24"/>
          <w:lang w:eastAsia="en-GB"/>
        </w:rPr>
        <w:t>esearch University of Colorado, study</w:t>
      </w:r>
      <w:r>
        <w:rPr>
          <w:rStyle w:val="FootnoteReference"/>
          <w:rFonts w:asciiTheme="minorHAnsi" w:eastAsia="Times New Roman" w:hAnsiTheme="minorHAnsi"/>
          <w:sz w:val="24"/>
          <w:szCs w:val="24"/>
          <w:lang w:eastAsia="en-GB"/>
        </w:rPr>
        <w:footnoteReference w:id="8"/>
      </w:r>
      <w:r w:rsidR="00036701">
        <w:rPr>
          <w:rFonts w:asciiTheme="minorHAnsi" w:eastAsia="Times New Roman" w:hAnsiTheme="minorHAnsi"/>
          <w:sz w:val="24"/>
          <w:szCs w:val="24"/>
          <w:lang w:eastAsia="en-GB"/>
        </w:rPr>
        <w:t xml:space="preserve"> on </w:t>
      </w:r>
      <w:r>
        <w:rPr>
          <w:rFonts w:asciiTheme="minorHAnsi" w:eastAsia="Times New Roman" w:hAnsiTheme="minorHAnsi"/>
          <w:sz w:val="24"/>
          <w:szCs w:val="24"/>
          <w:lang w:eastAsia="en-GB"/>
        </w:rPr>
        <w:t>Plight of Bumblebees found that t</w:t>
      </w:r>
      <w:r w:rsidRPr="00036701">
        <w:rPr>
          <w:rFonts w:asciiTheme="minorHAnsi" w:eastAsia="Times New Roman" w:hAnsiTheme="minorHAnsi"/>
          <w:sz w:val="24"/>
          <w:szCs w:val="24"/>
          <w:lang w:eastAsia="en-GB"/>
        </w:rPr>
        <w:t xml:space="preserve">he biggest pesticide threats to bumblebees are posed by the two neonicotinoids, thiamethoxam and clothianidin both active and breakdown products of Actara. </w:t>
      </w:r>
      <w:r>
        <w:rPr>
          <w:rFonts w:asciiTheme="minorHAnsi" w:eastAsia="Times New Roman" w:hAnsiTheme="minorHAnsi"/>
          <w:sz w:val="24"/>
          <w:szCs w:val="24"/>
          <w:lang w:eastAsia="en-GB"/>
        </w:rPr>
        <w:t xml:space="preserve"> The study </w:t>
      </w:r>
      <w:r w:rsidR="00036701">
        <w:rPr>
          <w:rFonts w:asciiTheme="minorHAnsi" w:eastAsia="Times New Roman" w:hAnsiTheme="minorHAnsi"/>
          <w:sz w:val="24"/>
          <w:szCs w:val="24"/>
          <w:lang w:eastAsia="en-GB"/>
        </w:rPr>
        <w:t>has stated</w:t>
      </w:r>
      <w:r>
        <w:rPr>
          <w:rFonts w:asciiTheme="minorHAnsi" w:eastAsia="Times New Roman" w:hAnsiTheme="minorHAnsi"/>
          <w:sz w:val="24"/>
          <w:szCs w:val="24"/>
          <w:lang w:eastAsia="en-GB"/>
        </w:rPr>
        <w:t>:</w:t>
      </w:r>
    </w:p>
    <w:p w14:paraId="70BB1207" w14:textId="18A657A6" w:rsidR="00036701" w:rsidRPr="00590059" w:rsidRDefault="00036701" w:rsidP="00590059">
      <w:pPr>
        <w:pStyle w:val="NormalWeb"/>
        <w:spacing w:before="0" w:beforeAutospacing="0" w:after="240" w:afterAutospacing="0"/>
        <w:ind w:left="720" w:right="227"/>
        <w:rPr>
          <w:rFonts w:asciiTheme="minorHAnsi" w:eastAsia="Times New Roman" w:hAnsiTheme="minorHAnsi"/>
          <w:sz w:val="24"/>
          <w:szCs w:val="24"/>
          <w:lang w:eastAsia="en-GB"/>
        </w:rPr>
      </w:pPr>
      <w:r w:rsidRPr="00590059">
        <w:rPr>
          <w:rFonts w:asciiTheme="minorHAnsi" w:eastAsia="Times New Roman" w:hAnsiTheme="minorHAnsi"/>
          <w:i/>
          <w:iCs/>
          <w:sz w:val="24"/>
          <w:szCs w:val="24"/>
          <w:lang w:eastAsia="en-GB"/>
        </w:rPr>
        <w:t xml:space="preserve">“Neonics and their metabolites are highly effective in disrupting the transmission of nerve impulses by binding to acetylcholine receptors in the central nervous system of insects. Substantial doses lead to paralysis and death. Due to their stability and their solubility in water, neonic insecticides can accumulate and persist in the environment for several years. This has </w:t>
      </w:r>
      <w:r w:rsidRPr="00590059">
        <w:rPr>
          <w:rFonts w:asciiTheme="minorHAnsi" w:eastAsia="Times New Roman" w:hAnsiTheme="minorHAnsi"/>
          <w:i/>
          <w:iCs/>
          <w:sz w:val="24"/>
          <w:szCs w:val="24"/>
          <w:lang w:eastAsia="en-GB"/>
        </w:rPr>
        <w:lastRenderedPageBreak/>
        <w:t>become problematic for pollinators, as they can be exposed via contaminated pollen and nectar of numerous flowering crops and wildflowers, as well as water. “</w:t>
      </w:r>
      <w:r>
        <w:rPr>
          <w:rFonts w:asciiTheme="minorHAnsi" w:eastAsia="Times New Roman" w:hAnsiTheme="minorHAnsi"/>
          <w:sz w:val="24"/>
          <w:szCs w:val="24"/>
          <w:lang w:eastAsia="en-GB"/>
        </w:rPr>
        <w:t xml:space="preserve"> (p. 14)</w:t>
      </w:r>
    </w:p>
    <w:p w14:paraId="37927051" w14:textId="77777777" w:rsidR="00CF27BB" w:rsidRPr="00CF27BB" w:rsidRDefault="00CF27BB" w:rsidP="00CF27BB">
      <w:pPr>
        <w:pStyle w:val="Heading2"/>
        <w:shd w:val="clear" w:color="auto" w:fill="FFFFFF"/>
        <w:rPr>
          <w:rFonts w:asciiTheme="minorHAnsi" w:hAnsiTheme="minorHAnsi" w:cstheme="minorHAnsi"/>
          <w:color w:val="000000" w:themeColor="text1"/>
          <w:sz w:val="13"/>
          <w:szCs w:val="13"/>
          <w:u w:val="none"/>
        </w:rPr>
      </w:pPr>
    </w:p>
    <w:p w14:paraId="0BBA7396" w14:textId="5FE0365D" w:rsidR="00CF27BB" w:rsidRPr="00CF27BB" w:rsidRDefault="00CF27BB" w:rsidP="00CF27BB">
      <w:pPr>
        <w:pStyle w:val="Heading2"/>
        <w:shd w:val="clear" w:color="auto" w:fill="FFFFFF"/>
        <w:rPr>
          <w:rFonts w:asciiTheme="minorHAnsi" w:eastAsia="MS Mincho" w:hAnsiTheme="minorHAnsi" w:cstheme="minorHAnsi"/>
          <w:color w:val="000000" w:themeColor="text1"/>
          <w:sz w:val="24"/>
          <w:szCs w:val="24"/>
          <w:u w:val="none"/>
          <w:lang w:val="en-NZ" w:eastAsia="en-GB"/>
        </w:rPr>
      </w:pPr>
      <w:r w:rsidRPr="00126A07">
        <w:rPr>
          <w:rFonts w:asciiTheme="minorHAnsi" w:hAnsiTheme="minorHAnsi" w:cstheme="minorHAnsi"/>
          <w:b w:val="0"/>
          <w:bCs/>
          <w:color w:val="000000" w:themeColor="text1"/>
          <w:sz w:val="24"/>
          <w:szCs w:val="24"/>
          <w:u w:val="none"/>
        </w:rPr>
        <w:t xml:space="preserve">Mörtl </w:t>
      </w:r>
      <w:r>
        <w:rPr>
          <w:rFonts w:asciiTheme="minorHAnsi" w:hAnsiTheme="minorHAnsi" w:cstheme="minorHAnsi"/>
          <w:b w:val="0"/>
          <w:bCs/>
          <w:color w:val="000000" w:themeColor="text1"/>
          <w:sz w:val="24"/>
          <w:szCs w:val="24"/>
          <w:u w:val="none"/>
        </w:rPr>
        <w:t xml:space="preserve">M., </w:t>
      </w:r>
      <w:r w:rsidRPr="00126A07">
        <w:rPr>
          <w:rFonts w:asciiTheme="minorHAnsi" w:hAnsiTheme="minorHAnsi" w:cstheme="minorHAnsi"/>
          <w:b w:val="0"/>
          <w:bCs/>
          <w:i/>
          <w:iCs/>
          <w:color w:val="000000" w:themeColor="text1"/>
          <w:sz w:val="24"/>
          <w:szCs w:val="24"/>
          <w:u w:val="none"/>
        </w:rPr>
        <w:t>et al</w:t>
      </w:r>
      <w:r w:rsidRPr="00126A07">
        <w:rPr>
          <w:rFonts w:asciiTheme="minorHAnsi" w:hAnsiTheme="minorHAnsi" w:cstheme="minorHAnsi"/>
          <w:b w:val="0"/>
          <w:bCs/>
          <w:color w:val="000000" w:themeColor="text1"/>
          <w:sz w:val="24"/>
          <w:szCs w:val="24"/>
          <w:u w:val="none"/>
        </w:rPr>
        <w:t xml:space="preserve"> (2019) study on weeds growing next to thiamethoxam sprayed plants have detected residues of</w:t>
      </w:r>
      <w:r w:rsidRPr="00126A07">
        <w:rPr>
          <w:rFonts w:asciiTheme="minorHAnsi" w:hAnsiTheme="minorHAnsi" w:cstheme="minorHAnsi"/>
          <w:color w:val="000000" w:themeColor="text1"/>
          <w:sz w:val="24"/>
          <w:szCs w:val="24"/>
          <w:u w:val="none"/>
        </w:rPr>
        <w:t xml:space="preserve"> </w:t>
      </w:r>
      <w:r w:rsidRPr="00126A07">
        <w:rPr>
          <w:rFonts w:asciiTheme="minorHAnsi" w:hAnsiTheme="minorHAnsi" w:cstheme="minorHAnsi"/>
          <w:b w:val="0"/>
          <w:bCs/>
          <w:color w:val="000000" w:themeColor="text1"/>
          <w:sz w:val="24"/>
          <w:szCs w:val="24"/>
          <w:u w:val="none"/>
        </w:rPr>
        <w:t>the neonicotinoid.</w:t>
      </w:r>
      <w:r w:rsidRPr="00126A07">
        <w:rPr>
          <w:rStyle w:val="FootnoteReference"/>
          <w:rFonts w:asciiTheme="minorHAnsi" w:hAnsiTheme="minorHAnsi" w:cstheme="minorHAnsi"/>
          <w:color w:val="000000" w:themeColor="text1"/>
          <w:sz w:val="24"/>
          <w:szCs w:val="24"/>
          <w:u w:val="none"/>
        </w:rPr>
        <w:footnoteReference w:id="9"/>
      </w:r>
    </w:p>
    <w:p w14:paraId="146957AC" w14:textId="77777777"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Tosi and Neih (2017) found that Thiamethoxam poses a serious danger to worker bees by altering their activity, affecting their motor functions and movement.</w:t>
      </w:r>
      <w:r w:rsidRPr="00126A07">
        <w:rPr>
          <w:rStyle w:val="FootnoteReference"/>
          <w:rFonts w:asciiTheme="minorHAnsi" w:hAnsiTheme="minorHAnsi" w:cstheme="minorHAnsi"/>
          <w:color w:val="000000" w:themeColor="text1"/>
        </w:rPr>
        <w:footnoteReference w:id="10"/>
      </w:r>
      <w:r w:rsidRPr="00126A07">
        <w:rPr>
          <w:rFonts w:asciiTheme="minorHAnsi" w:hAnsiTheme="minorHAnsi" w:cstheme="minorHAnsi"/>
          <w:color w:val="000000" w:themeColor="text1"/>
        </w:rPr>
        <w:t xml:space="preserve">  </w:t>
      </w:r>
    </w:p>
    <w:p w14:paraId="28552A64" w14:textId="77777777" w:rsidR="00126A07" w:rsidRPr="00126A07" w:rsidRDefault="00126A07" w:rsidP="00126A07">
      <w:pPr>
        <w:spacing w:before="120" w:after="120"/>
        <w:rPr>
          <w:rFonts w:asciiTheme="minorHAnsi" w:hAnsiTheme="minorHAnsi" w:cstheme="minorHAnsi"/>
          <w:color w:val="000000" w:themeColor="text1"/>
        </w:rPr>
      </w:pPr>
      <w:r w:rsidRPr="00126A07">
        <w:rPr>
          <w:rFonts w:asciiTheme="minorHAnsi" w:hAnsiTheme="minorHAnsi" w:cstheme="minorHAnsi"/>
          <w:color w:val="000000" w:themeColor="text1"/>
        </w:rPr>
        <w:t>Coulon et al (2018) research found that Thiamethoxam increased mortality to bees.</w:t>
      </w:r>
      <w:r w:rsidRPr="00126A07">
        <w:rPr>
          <w:rStyle w:val="FootnoteReference"/>
          <w:rFonts w:asciiTheme="minorHAnsi" w:hAnsiTheme="minorHAnsi" w:cstheme="minorHAnsi"/>
          <w:color w:val="000000" w:themeColor="text1"/>
        </w:rPr>
        <w:footnoteReference w:id="11"/>
      </w:r>
      <w:r w:rsidRPr="00126A07">
        <w:rPr>
          <w:rFonts w:asciiTheme="minorHAnsi" w:hAnsiTheme="minorHAnsi" w:cstheme="minorHAnsi"/>
          <w:color w:val="000000" w:themeColor="text1"/>
        </w:rPr>
        <w:t xml:space="preserve"> </w:t>
      </w:r>
    </w:p>
    <w:p w14:paraId="66480E0D" w14:textId="77777777" w:rsidR="00126A07" w:rsidRPr="00126A07" w:rsidRDefault="00126A07" w:rsidP="00126A07">
      <w:pPr>
        <w:spacing w:before="120" w:after="120"/>
        <w:rPr>
          <w:rFonts w:asciiTheme="minorHAnsi" w:eastAsia="Times New Roman" w:hAnsiTheme="minorHAnsi" w:cstheme="minorHAnsi"/>
          <w:color w:val="000000" w:themeColor="text1"/>
        </w:rPr>
      </w:pPr>
      <w:r w:rsidRPr="00126A07">
        <w:rPr>
          <w:rFonts w:asciiTheme="minorHAnsi" w:hAnsiTheme="minorHAnsi" w:cstheme="minorHAnsi"/>
          <w:color w:val="000000" w:themeColor="text1"/>
        </w:rPr>
        <w:t xml:space="preserve">Wang et al (2022) found that Thiamethoxam was highly toxic to honeybees due to slow detoxification.  When combined with certain fungicides there was acute toxicity due to a synergistic effect </w:t>
      </w:r>
      <w:r w:rsidRPr="00126A07">
        <w:rPr>
          <w:rFonts w:asciiTheme="minorHAnsi" w:eastAsia="Times New Roman" w:hAnsiTheme="minorHAnsi" w:cstheme="minorHAnsi"/>
          <w:color w:val="000000" w:themeColor="text1"/>
        </w:rPr>
        <w:t xml:space="preserve">causing oxidative stress, impaired immune response, shortened lifespan, cell death, and slow detoxification by the bee metabolism. </w:t>
      </w:r>
      <w:r w:rsidRPr="00126A07">
        <w:rPr>
          <w:rStyle w:val="FootnoteReference"/>
          <w:rFonts w:asciiTheme="minorHAnsi" w:hAnsiTheme="minorHAnsi" w:cstheme="minorHAnsi"/>
          <w:color w:val="000000" w:themeColor="text1"/>
        </w:rPr>
        <w:footnoteReference w:id="12"/>
      </w:r>
    </w:p>
    <w:p w14:paraId="754FECC0" w14:textId="77777777" w:rsidR="00126A07" w:rsidRPr="00126A07" w:rsidRDefault="00126A07" w:rsidP="00126A07">
      <w:pPr>
        <w:spacing w:before="120" w:after="120"/>
        <w:rPr>
          <w:rFonts w:asciiTheme="minorHAnsi" w:eastAsia="Times New Roman" w:hAnsiTheme="minorHAnsi" w:cstheme="minorHAnsi"/>
          <w:color w:val="000000" w:themeColor="text1"/>
        </w:rPr>
      </w:pPr>
      <w:r w:rsidRPr="00126A07">
        <w:rPr>
          <w:rFonts w:asciiTheme="minorHAnsi" w:eastAsia="Times New Roman" w:hAnsiTheme="minorHAnsi" w:cstheme="minorHAnsi"/>
          <w:color w:val="000000" w:themeColor="text1"/>
        </w:rPr>
        <w:t xml:space="preserve">Liu et al (2018) recorded a 9-day </w:t>
      </w:r>
      <w:r w:rsidRPr="00126A07">
        <w:rPr>
          <w:rFonts w:asciiTheme="minorHAnsi" w:hAnsiTheme="minorHAnsi" w:cstheme="minorHAnsi"/>
          <w:color w:val="000000" w:themeColor="text1"/>
        </w:rPr>
        <w:t>half-life of thiamethoxam in strawberry and the residue of its metabolite clothianidin gradually increased from 0.55 to 11 μg within 30 days</w:t>
      </w:r>
      <w:r w:rsidRPr="00126A07">
        <w:rPr>
          <w:rFonts w:asciiTheme="minorHAnsi" w:eastAsia="Times New Roman" w:hAnsiTheme="minorHAnsi" w:cstheme="minorHAnsi"/>
          <w:color w:val="000000" w:themeColor="text1"/>
        </w:rPr>
        <w:t>.</w:t>
      </w:r>
      <w:r w:rsidRPr="00126A07">
        <w:rPr>
          <w:rStyle w:val="FootnoteReference"/>
          <w:rFonts w:asciiTheme="minorHAnsi" w:hAnsiTheme="minorHAnsi" w:cstheme="minorHAnsi"/>
          <w:color w:val="000000" w:themeColor="text1"/>
        </w:rPr>
        <w:footnoteReference w:id="13"/>
      </w:r>
      <w:r w:rsidRPr="00126A07">
        <w:rPr>
          <w:rFonts w:asciiTheme="minorHAnsi" w:eastAsia="Times New Roman" w:hAnsiTheme="minorHAnsi" w:cstheme="minorHAnsi"/>
          <w:color w:val="000000" w:themeColor="text1"/>
        </w:rPr>
        <w:t xml:space="preserve">  </w:t>
      </w:r>
    </w:p>
    <w:p w14:paraId="46FD83BB" w14:textId="120D1EA1" w:rsidR="00126A07" w:rsidRPr="00590059" w:rsidRDefault="00126A07" w:rsidP="00590059">
      <w:pPr>
        <w:spacing w:before="120" w:after="120"/>
        <w:rPr>
          <w:rFonts w:asciiTheme="minorHAnsi" w:eastAsia="MS Mincho" w:hAnsiTheme="minorHAnsi" w:cstheme="minorHAnsi"/>
          <w:color w:val="000000" w:themeColor="text1"/>
        </w:rPr>
      </w:pPr>
      <w:r w:rsidRPr="00126A07">
        <w:rPr>
          <w:rFonts w:asciiTheme="minorHAnsi" w:eastAsia="Times New Roman" w:hAnsiTheme="minorHAnsi" w:cstheme="minorHAnsi"/>
          <w:color w:val="000000" w:themeColor="text1"/>
        </w:rPr>
        <w:t>The Pesticide Action Network Bee Decline &amp; Pesticides Fact sheet records that the LD50 for bees is 0.004</w:t>
      </w:r>
      <w:r w:rsidRPr="00126A07">
        <w:rPr>
          <w:rFonts w:asciiTheme="minorHAnsi" w:hAnsiTheme="minorHAnsi" w:cstheme="minorHAnsi"/>
          <w:color w:val="000000" w:themeColor="text1"/>
        </w:rPr>
        <w:t>μg</w:t>
      </w:r>
      <w:r w:rsidRPr="00126A07">
        <w:rPr>
          <w:rFonts w:asciiTheme="minorHAnsi" w:eastAsia="Times New Roman" w:hAnsiTheme="minorHAnsi" w:cstheme="minorHAnsi"/>
          <w:color w:val="000000" w:themeColor="text1"/>
        </w:rPr>
        <w:t xml:space="preserve"> for Clothianidin and 0.005</w:t>
      </w:r>
      <w:r w:rsidRPr="00126A07">
        <w:rPr>
          <w:rFonts w:asciiTheme="minorHAnsi" w:hAnsiTheme="minorHAnsi" w:cstheme="minorHAnsi"/>
          <w:color w:val="000000" w:themeColor="text1"/>
        </w:rPr>
        <w:t>μg</w:t>
      </w:r>
      <w:r w:rsidRPr="00126A07">
        <w:rPr>
          <w:rFonts w:asciiTheme="minorHAnsi" w:eastAsia="Times New Roman" w:hAnsiTheme="minorHAnsi" w:cstheme="minorHAnsi"/>
          <w:color w:val="000000" w:themeColor="text1"/>
        </w:rPr>
        <w:t xml:space="preserve"> for Thiamethoxam when ingested orally.  The residues found in the strawberries for bees show that these residues would have severe toxic effects leading to high mortality.  </w:t>
      </w:r>
    </w:p>
    <w:p w14:paraId="16386513" w14:textId="77777777" w:rsidR="00C14FCB" w:rsidRDefault="00C14FCB" w:rsidP="00126A07">
      <w:pPr>
        <w:rPr>
          <w:rFonts w:asciiTheme="minorHAnsi" w:hAnsiTheme="minorHAnsi" w:cstheme="minorHAnsi"/>
          <w:b/>
          <w:color w:val="000000" w:themeColor="text1"/>
        </w:rPr>
      </w:pPr>
    </w:p>
    <w:p w14:paraId="327AB4B5" w14:textId="77777777" w:rsidR="00C14FCB" w:rsidRDefault="00C14FCB" w:rsidP="00126A07">
      <w:pPr>
        <w:rPr>
          <w:rFonts w:asciiTheme="minorHAnsi" w:hAnsiTheme="minorHAnsi" w:cstheme="minorHAnsi"/>
          <w:b/>
          <w:color w:val="000000" w:themeColor="text1"/>
        </w:rPr>
      </w:pPr>
    </w:p>
    <w:p w14:paraId="6B959081" w14:textId="77777777" w:rsidR="00C14FCB" w:rsidRDefault="00C14FCB" w:rsidP="00126A07">
      <w:pPr>
        <w:rPr>
          <w:rFonts w:asciiTheme="minorHAnsi" w:hAnsiTheme="minorHAnsi" w:cstheme="minorHAnsi"/>
          <w:b/>
          <w:color w:val="000000" w:themeColor="text1"/>
        </w:rPr>
      </w:pPr>
    </w:p>
    <w:p w14:paraId="112568A9" w14:textId="77777777" w:rsidR="00C14FCB" w:rsidRDefault="00C14FCB" w:rsidP="00126A07">
      <w:pPr>
        <w:rPr>
          <w:rFonts w:asciiTheme="minorHAnsi" w:hAnsiTheme="minorHAnsi" w:cstheme="minorHAnsi"/>
          <w:b/>
          <w:color w:val="000000" w:themeColor="text1"/>
        </w:rPr>
      </w:pPr>
    </w:p>
    <w:p w14:paraId="4911B24C" w14:textId="77777777" w:rsidR="00C14FCB" w:rsidRDefault="00C14FCB" w:rsidP="00126A07">
      <w:pPr>
        <w:rPr>
          <w:rFonts w:asciiTheme="minorHAnsi" w:hAnsiTheme="minorHAnsi" w:cstheme="minorHAnsi"/>
          <w:b/>
          <w:color w:val="000000" w:themeColor="text1"/>
        </w:rPr>
      </w:pPr>
    </w:p>
    <w:p w14:paraId="380555F3" w14:textId="632CCF18" w:rsidR="00126A07" w:rsidRPr="00126A07" w:rsidRDefault="00126A07" w:rsidP="00126A07">
      <w:pPr>
        <w:rPr>
          <w:rFonts w:asciiTheme="minorHAnsi" w:hAnsiTheme="minorHAnsi" w:cstheme="minorHAnsi"/>
          <w:b/>
          <w:color w:val="000000" w:themeColor="text1"/>
        </w:rPr>
      </w:pPr>
      <w:r w:rsidRPr="00126A07">
        <w:rPr>
          <w:rFonts w:asciiTheme="minorHAnsi" w:hAnsiTheme="minorHAnsi" w:cstheme="minorHAnsi"/>
          <w:b/>
          <w:color w:val="000000" w:themeColor="text1"/>
        </w:rPr>
        <w:lastRenderedPageBreak/>
        <w:t>Alternative Solutions</w:t>
      </w:r>
    </w:p>
    <w:p w14:paraId="3FBF2F3B" w14:textId="77777777" w:rsidR="00126A07" w:rsidRPr="00126A07" w:rsidRDefault="00126A07" w:rsidP="00126A07">
      <w:pPr>
        <w:rPr>
          <w:rFonts w:asciiTheme="minorHAnsi" w:hAnsiTheme="minorHAnsi" w:cstheme="minorHAnsi"/>
          <w:b/>
          <w:color w:val="000000" w:themeColor="text1"/>
        </w:rPr>
      </w:pPr>
      <w:r w:rsidRPr="00126A07">
        <w:rPr>
          <w:rFonts w:asciiTheme="minorHAnsi" w:hAnsiTheme="minorHAnsi" w:cstheme="minorHAnsi"/>
          <w:color w:val="000000" w:themeColor="text1"/>
        </w:rPr>
        <w:t>The EPA in 2018 has approved a parasitic wasp as a bio control for BMSB if it is detected in the country.</w:t>
      </w:r>
      <w:r w:rsidRPr="00126A07">
        <w:rPr>
          <w:rStyle w:val="FootnoteReference"/>
          <w:rFonts w:asciiTheme="minorHAnsi" w:hAnsiTheme="minorHAnsi" w:cstheme="minorHAnsi"/>
          <w:color w:val="000000" w:themeColor="text1"/>
        </w:rPr>
        <w:footnoteReference w:id="14"/>
      </w:r>
    </w:p>
    <w:p w14:paraId="2483D01D" w14:textId="77777777" w:rsidR="00126A07" w:rsidRPr="00126A07" w:rsidRDefault="00126A07" w:rsidP="00126A07">
      <w:pPr>
        <w:rPr>
          <w:rFonts w:asciiTheme="minorHAnsi" w:hAnsiTheme="minorHAnsi" w:cstheme="minorHAnsi"/>
          <w:color w:val="000000" w:themeColor="text1"/>
        </w:rPr>
      </w:pPr>
      <w:r w:rsidRPr="00126A07">
        <w:rPr>
          <w:rFonts w:asciiTheme="minorHAnsi" w:eastAsia="Times New Roman" w:hAnsiTheme="minorHAnsi" w:cstheme="minorHAnsi"/>
          <w:color w:val="000000" w:themeColor="text1"/>
          <w:shd w:val="clear" w:color="auto" w:fill="FFFFFF"/>
        </w:rPr>
        <w:t>Parasitic wasps lay their eggs inside the egg, immature or adult stage of another insect commonly called its </w:t>
      </w:r>
      <w:r w:rsidRPr="00126A07">
        <w:rPr>
          <w:rFonts w:asciiTheme="minorHAnsi" w:eastAsia="Times New Roman" w:hAnsiTheme="minorHAnsi" w:cstheme="minorHAnsi"/>
          <w:i/>
          <w:iCs/>
          <w:color w:val="000000" w:themeColor="text1"/>
          <w:shd w:val="clear" w:color="auto" w:fill="FFFFFF"/>
        </w:rPr>
        <w:t>host</w:t>
      </w:r>
      <w:r w:rsidRPr="00126A07">
        <w:rPr>
          <w:rFonts w:asciiTheme="minorHAnsi" w:eastAsia="Times New Roman" w:hAnsiTheme="minorHAnsi" w:cstheme="minorHAnsi"/>
          <w:color w:val="000000" w:themeColor="text1"/>
          <w:shd w:val="clear" w:color="auto" w:fill="FFFFFF"/>
        </w:rPr>
        <w:t xml:space="preserve">. Eggs of these wasps then hatch, leaving the larval wasp which resembles a maggot to consume the contents of the host egg. After consuming the host, parasitic wasps complete their development within the host and later chew their way out and emerge as adult wasps.  As the wasps often are attracted to the food sources as BMSB they are able to parasitize the bugs. </w:t>
      </w:r>
    </w:p>
    <w:p w14:paraId="6FD3AEAA" w14:textId="77777777" w:rsidR="00126A07" w:rsidRPr="00126A07" w:rsidRDefault="00126A07" w:rsidP="00126A07">
      <w:pPr>
        <w:rPr>
          <w:rFonts w:asciiTheme="minorHAnsi" w:hAnsiTheme="minorHAnsi" w:cstheme="minorHAnsi"/>
          <w:color w:val="000000" w:themeColor="text1"/>
        </w:rPr>
      </w:pPr>
    </w:p>
    <w:p w14:paraId="26E0B090" w14:textId="77777777" w:rsidR="00126A07" w:rsidRPr="00126A07" w:rsidRDefault="00126A07" w:rsidP="00126A07">
      <w:pPr>
        <w:rPr>
          <w:rFonts w:asciiTheme="minorHAnsi" w:eastAsia="Times New Roman" w:hAnsiTheme="minorHAnsi" w:cstheme="minorHAnsi"/>
          <w:color w:val="000000" w:themeColor="text1"/>
        </w:rPr>
      </w:pPr>
      <w:r w:rsidRPr="00126A07">
        <w:rPr>
          <w:rFonts w:asciiTheme="minorHAnsi" w:hAnsiTheme="minorHAnsi" w:cstheme="minorHAnsi"/>
          <w:color w:val="000000" w:themeColor="text1"/>
        </w:rPr>
        <w:t xml:space="preserve">The EPA Decision regarding BMSB in </w:t>
      </w:r>
      <w:r w:rsidRPr="00126A07">
        <w:rPr>
          <w:rFonts w:asciiTheme="minorHAnsi" w:eastAsia="Times New Roman" w:hAnsiTheme="minorHAnsi" w:cstheme="minorHAnsi"/>
          <w:color w:val="000000" w:themeColor="text1"/>
        </w:rPr>
        <w:t>Appendix 1 states</w:t>
      </w:r>
    </w:p>
    <w:p w14:paraId="14E24115" w14:textId="77777777" w:rsidR="00126A07" w:rsidRPr="00126A07" w:rsidRDefault="00126A07" w:rsidP="00126A07">
      <w:pPr>
        <w:ind w:left="720" w:right="418"/>
        <w:jc w:val="both"/>
        <w:rPr>
          <w:rFonts w:asciiTheme="minorHAnsi" w:eastAsia="Times New Roman" w:hAnsiTheme="minorHAnsi" w:cstheme="minorHAnsi"/>
          <w:i/>
          <w:color w:val="000000" w:themeColor="text1"/>
        </w:rPr>
      </w:pPr>
      <w:r w:rsidRPr="00126A07">
        <w:rPr>
          <w:rFonts w:asciiTheme="minorHAnsi" w:eastAsia="Times New Roman" w:hAnsiTheme="minorHAnsi" w:cstheme="minorHAnsi"/>
          <w:i/>
          <w:color w:val="000000" w:themeColor="text1"/>
        </w:rPr>
        <w:t>Controls 1. Trissolcus japonicus (T. japonicus) may only be released when a brown marmorated stink bug (BMSB, Halyomorpha halys) incursion is detected and only at the location of the incursion in accordance with the provisions of the Response Readiness Plan. The approval can only be used by the approval user.</w:t>
      </w:r>
    </w:p>
    <w:p w14:paraId="46E78205" w14:textId="77777777" w:rsidR="00126A07" w:rsidRPr="00126A07" w:rsidRDefault="00126A07" w:rsidP="00126A07">
      <w:pPr>
        <w:rPr>
          <w:rFonts w:asciiTheme="minorHAnsi" w:hAnsiTheme="minorHAnsi" w:cstheme="minorHAnsi"/>
          <w:color w:val="000000" w:themeColor="text1"/>
        </w:rPr>
      </w:pPr>
    </w:p>
    <w:p w14:paraId="3A73C6EB" w14:textId="77777777" w:rsidR="00126A07" w:rsidRPr="00126A07" w:rsidRDefault="00126A07" w:rsidP="00126A07">
      <w:pPr>
        <w:rPr>
          <w:rFonts w:asciiTheme="minorHAnsi" w:hAnsiTheme="minorHAnsi" w:cstheme="minorHAnsi"/>
          <w:color w:val="000000" w:themeColor="text1"/>
        </w:rPr>
      </w:pPr>
      <w:r w:rsidRPr="00126A07">
        <w:rPr>
          <w:rFonts w:asciiTheme="minorHAnsi" w:hAnsiTheme="minorHAnsi" w:cstheme="minorHAnsi"/>
          <w:color w:val="000000" w:themeColor="text1"/>
        </w:rPr>
        <w:t xml:space="preserve">This approval could be extended to other growers under the same controls. </w:t>
      </w:r>
    </w:p>
    <w:p w14:paraId="06A2FBB1" w14:textId="77777777" w:rsidR="00126A07" w:rsidRPr="00126A07" w:rsidRDefault="00126A07" w:rsidP="00126A07">
      <w:pPr>
        <w:rPr>
          <w:rFonts w:asciiTheme="minorHAnsi" w:eastAsia="Times New Roman" w:hAnsiTheme="minorHAnsi" w:cstheme="minorHAnsi"/>
          <w:caps/>
          <w:color w:val="000000" w:themeColor="text1"/>
          <w:spacing w:val="34"/>
          <w:shd w:val="clear" w:color="auto" w:fill="FFFFFF"/>
        </w:rPr>
      </w:pPr>
    </w:p>
    <w:p w14:paraId="359E725E" w14:textId="77777777" w:rsidR="00126A07" w:rsidRPr="00126A07" w:rsidRDefault="00126A07" w:rsidP="00126A07">
      <w:pPr>
        <w:rPr>
          <w:rFonts w:asciiTheme="minorHAnsi" w:hAnsiTheme="minorHAnsi" w:cstheme="minorHAnsi"/>
          <w:color w:val="000000" w:themeColor="text1"/>
          <w:shd w:val="clear" w:color="auto" w:fill="FFFFFF"/>
        </w:rPr>
      </w:pPr>
      <w:r w:rsidRPr="00126A07">
        <w:rPr>
          <w:rFonts w:asciiTheme="minorHAnsi" w:hAnsiTheme="minorHAnsi" w:cstheme="minorHAnsi"/>
          <w:color w:val="000000" w:themeColor="text1"/>
          <w:shd w:val="clear" w:color="auto" w:fill="FFFFFF"/>
        </w:rPr>
        <w:t xml:space="preserve">The Rodale Institute, USA, organic field management of the brown marmorated stink bug has successfully managed them by catch crops grown in buffer zone around fields. </w:t>
      </w:r>
      <w:r w:rsidRPr="00126A07">
        <w:rPr>
          <w:rStyle w:val="FootnoteReference"/>
          <w:rFonts w:asciiTheme="minorHAnsi" w:hAnsiTheme="minorHAnsi" w:cstheme="minorHAnsi"/>
          <w:color w:val="000000" w:themeColor="text1"/>
          <w:shd w:val="clear" w:color="auto" w:fill="FFFFFF"/>
        </w:rPr>
        <w:footnoteReference w:id="15"/>
      </w:r>
    </w:p>
    <w:p w14:paraId="1A965B6A" w14:textId="77777777" w:rsidR="00126A07" w:rsidRPr="00126A07" w:rsidRDefault="00126A07" w:rsidP="00126A07">
      <w:pPr>
        <w:rPr>
          <w:rFonts w:asciiTheme="minorHAnsi" w:hAnsiTheme="minorHAnsi" w:cstheme="minorHAnsi"/>
          <w:color w:val="000000" w:themeColor="text1"/>
          <w:shd w:val="clear" w:color="auto" w:fill="FFFFFF"/>
        </w:rPr>
      </w:pPr>
    </w:p>
    <w:p w14:paraId="153DAE21" w14:textId="3971CA28" w:rsidR="00126A07" w:rsidRPr="00126A07" w:rsidRDefault="00126A07" w:rsidP="00126A07">
      <w:pPr>
        <w:rPr>
          <w:rFonts w:asciiTheme="minorHAnsi" w:eastAsia="Times New Roman" w:hAnsiTheme="minorHAnsi" w:cstheme="minorHAnsi"/>
          <w:color w:val="000000" w:themeColor="text1"/>
        </w:rPr>
      </w:pPr>
      <w:r w:rsidRPr="00126A07">
        <w:rPr>
          <w:rFonts w:asciiTheme="minorHAnsi" w:eastAsia="Times New Roman" w:hAnsiTheme="minorHAnsi" w:cstheme="minorHAnsi"/>
          <w:color w:val="000000" w:themeColor="text1"/>
          <w:shd w:val="clear" w:color="auto" w:fill="FFFFFF"/>
        </w:rPr>
        <w:t xml:space="preserve">Neilson et al (2016) found planting catch crops of sunflower and sorghum were highly attractive to the BMSB.  These plants have a 5-week flowering period that coincided with the peek activity of the BMSB.   They found that these crops with other supports like flaming was an effective management tool for BMSB. </w:t>
      </w:r>
      <w:r w:rsidRPr="00126A07">
        <w:rPr>
          <w:rStyle w:val="FootnoteReference"/>
          <w:rFonts w:asciiTheme="minorHAnsi" w:hAnsiTheme="minorHAnsi" w:cstheme="minorHAnsi"/>
          <w:color w:val="000000" w:themeColor="text1"/>
        </w:rPr>
        <w:footnoteReference w:id="16"/>
      </w:r>
    </w:p>
    <w:p w14:paraId="7A4DD970" w14:textId="77777777" w:rsidR="00126A07" w:rsidRPr="00126A07" w:rsidRDefault="00126A07" w:rsidP="00126A07">
      <w:pPr>
        <w:rPr>
          <w:rFonts w:asciiTheme="minorHAnsi" w:hAnsiTheme="minorHAnsi" w:cstheme="minorHAnsi"/>
          <w:color w:val="000000" w:themeColor="text1"/>
        </w:rPr>
      </w:pPr>
    </w:p>
    <w:p w14:paraId="179B9966" w14:textId="055222D2" w:rsidR="00126A07" w:rsidRPr="00590059" w:rsidRDefault="00126A07" w:rsidP="00126A07">
      <w:pPr>
        <w:rPr>
          <w:rFonts w:asciiTheme="minorHAnsi" w:hAnsiTheme="minorHAnsi" w:cstheme="minorHAnsi"/>
          <w:b/>
          <w:bCs/>
          <w:color w:val="000000" w:themeColor="text1"/>
        </w:rPr>
      </w:pPr>
      <w:r w:rsidRPr="00590059">
        <w:rPr>
          <w:rFonts w:asciiTheme="minorHAnsi" w:hAnsiTheme="minorHAnsi" w:cstheme="minorHAnsi"/>
          <w:b/>
          <w:bCs/>
          <w:color w:val="000000" w:themeColor="text1"/>
        </w:rPr>
        <w:t>In Summary</w:t>
      </w:r>
    </w:p>
    <w:p w14:paraId="3B0E8C82" w14:textId="73D6AB74" w:rsidR="00560BA2" w:rsidRPr="00126A07" w:rsidRDefault="00560BA2" w:rsidP="00126A07">
      <w:pPr>
        <w:rPr>
          <w:rFonts w:asciiTheme="minorHAnsi" w:hAnsiTheme="minorHAnsi" w:cstheme="minorHAnsi"/>
          <w:color w:val="000000" w:themeColor="text1"/>
        </w:rPr>
      </w:pPr>
      <w:r>
        <w:rPr>
          <w:rFonts w:asciiTheme="minorHAnsi" w:hAnsiTheme="minorHAnsi" w:cstheme="minorHAnsi"/>
          <w:color w:val="000000" w:themeColor="text1"/>
        </w:rPr>
        <w:t xml:space="preserve">We ask that this application is declined in light of overseas prohibitions and rulings regarding the toxicity of Actara’s active ingredient and </w:t>
      </w:r>
    </w:p>
    <w:p w14:paraId="47588D56" w14:textId="2C03AE28" w:rsidR="00126A07" w:rsidRPr="00126A07" w:rsidRDefault="00D11C27" w:rsidP="00126A07">
      <w:pPr>
        <w:pStyle w:val="List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The</w:t>
      </w:r>
      <w:r w:rsidR="00126A07" w:rsidRPr="00126A07">
        <w:rPr>
          <w:rFonts w:asciiTheme="minorHAnsi" w:hAnsiTheme="minorHAnsi" w:cstheme="minorHAnsi"/>
          <w:color w:val="000000" w:themeColor="text1"/>
        </w:rPr>
        <w:t xml:space="preserve"> lack of information on the adverse effects of increased applications</w:t>
      </w:r>
    </w:p>
    <w:p w14:paraId="2B32E752" w14:textId="057D460E"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 xml:space="preserve">There is no information on the reason for the </w:t>
      </w:r>
      <w:r w:rsidR="00D11C27">
        <w:rPr>
          <w:rFonts w:asciiTheme="minorHAnsi" w:hAnsiTheme="minorHAnsi" w:cstheme="minorHAnsi"/>
          <w:color w:val="000000" w:themeColor="text1"/>
        </w:rPr>
        <w:t>increase</w:t>
      </w:r>
      <w:r w:rsidRPr="00126A07">
        <w:rPr>
          <w:rFonts w:asciiTheme="minorHAnsi" w:hAnsiTheme="minorHAnsi" w:cstheme="minorHAnsi"/>
          <w:color w:val="000000" w:themeColor="text1"/>
        </w:rPr>
        <w:t xml:space="preserve"> of applications when flowering on the valued native ecosystems, water and insects. </w:t>
      </w:r>
    </w:p>
    <w:p w14:paraId="5AE10EC7"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 xml:space="preserve">No information on the economic costs of losing pollinators. </w:t>
      </w:r>
    </w:p>
    <w:p w14:paraId="0700C7E8"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lastRenderedPageBreak/>
        <w:t xml:space="preserve">There is no information on the time it takes for resistance to build up. </w:t>
      </w:r>
    </w:p>
    <w:p w14:paraId="4401BA11"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There are no data on the residue risks to consumers, workers and applicators.</w:t>
      </w:r>
    </w:p>
    <w:p w14:paraId="114BED27"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 xml:space="preserve">Actara does not have the information on any possible adverse effects on the environment, soil, pollinators or water from the increase of applications. </w:t>
      </w:r>
    </w:p>
    <w:p w14:paraId="28D5B5E1"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 xml:space="preserve">Actara data sheet specifies only 1-2 annual applications for control. </w:t>
      </w:r>
    </w:p>
    <w:p w14:paraId="29AF41DF"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The is no long-term data that increasing the applications is effective as a control of BMSB</w:t>
      </w:r>
    </w:p>
    <w:p w14:paraId="437EC647"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There is strong evidence on Thiamethoxam and metabolite clothianidin’s toxicity leading to chronic immune, neurological symptoms and mortality to bees.</w:t>
      </w:r>
    </w:p>
    <w:p w14:paraId="71896975"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 xml:space="preserve">Accumulated toxicity in water and guttation droplets </w:t>
      </w:r>
    </w:p>
    <w:p w14:paraId="3F9F9B46"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Systemic persistent toxic exudates destroy ecosystems</w:t>
      </w:r>
    </w:p>
    <w:p w14:paraId="6914AA50"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The EU has banned the use of Thiamethoxam and Clothianidin due to their effects on bees and pollinator insects</w:t>
      </w:r>
    </w:p>
    <w:p w14:paraId="58D6AFC1"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 xml:space="preserve">Health Canada has only approved Thiamethoxam and Clothianidin in glasshouse situations. </w:t>
      </w:r>
    </w:p>
    <w:p w14:paraId="3F216025"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Management methods are available</w:t>
      </w:r>
    </w:p>
    <w:p w14:paraId="7E724DE5"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 xml:space="preserve">Alternative solutions are available if an incursion occurs. </w:t>
      </w:r>
    </w:p>
    <w:p w14:paraId="02233DF6" w14:textId="77777777" w:rsidR="00126A07" w:rsidRPr="00126A07" w:rsidRDefault="00126A07" w:rsidP="00126A07">
      <w:pPr>
        <w:pStyle w:val="ListParagraph"/>
        <w:numPr>
          <w:ilvl w:val="0"/>
          <w:numId w:val="5"/>
        </w:numPr>
        <w:rPr>
          <w:rFonts w:asciiTheme="minorHAnsi" w:hAnsiTheme="minorHAnsi" w:cstheme="minorHAnsi"/>
          <w:color w:val="000000" w:themeColor="text1"/>
        </w:rPr>
      </w:pPr>
      <w:r w:rsidRPr="00126A07">
        <w:rPr>
          <w:rFonts w:asciiTheme="minorHAnsi" w:hAnsiTheme="minorHAnsi" w:cstheme="minorHAnsi"/>
          <w:color w:val="000000" w:themeColor="text1"/>
        </w:rPr>
        <w:t>The EPA has approved a parasitic wasp for use in an outbreak.</w:t>
      </w:r>
    </w:p>
    <w:p w14:paraId="1D0CABE9" w14:textId="77777777" w:rsidR="00126A07" w:rsidRPr="00126A07" w:rsidRDefault="00126A07" w:rsidP="00126A07">
      <w:pPr>
        <w:rPr>
          <w:rFonts w:asciiTheme="minorHAnsi" w:hAnsiTheme="minorHAnsi" w:cstheme="minorHAnsi"/>
          <w:color w:val="000000" w:themeColor="text1"/>
        </w:rPr>
      </w:pPr>
    </w:p>
    <w:p w14:paraId="0A2BBD33" w14:textId="77777777" w:rsidR="00126A07" w:rsidRPr="00126A07" w:rsidRDefault="00126A07" w:rsidP="00126A07">
      <w:pPr>
        <w:rPr>
          <w:rFonts w:asciiTheme="minorHAnsi" w:eastAsia="Times New Roman" w:hAnsiTheme="minorHAnsi" w:cstheme="minorHAnsi"/>
          <w:color w:val="000000" w:themeColor="text1"/>
        </w:rPr>
      </w:pPr>
    </w:p>
    <w:p w14:paraId="4B0616CF" w14:textId="46C7E343" w:rsidR="00126A07" w:rsidRPr="00126A07" w:rsidRDefault="00126A07" w:rsidP="00126A07">
      <w:pPr>
        <w:rPr>
          <w:rFonts w:asciiTheme="minorHAnsi" w:eastAsia="Times New Roman" w:hAnsiTheme="minorHAnsi" w:cstheme="minorHAnsi"/>
          <w:color w:val="000000" w:themeColor="text1"/>
          <w:shd w:val="clear" w:color="auto" w:fill="FFFFFF"/>
        </w:rPr>
      </w:pPr>
      <w:r w:rsidRPr="00126A07">
        <w:rPr>
          <w:rFonts w:asciiTheme="minorHAnsi" w:eastAsia="Times New Roman" w:hAnsiTheme="minorHAnsi" w:cstheme="minorHAnsi"/>
          <w:color w:val="000000" w:themeColor="text1"/>
          <w:shd w:val="clear" w:color="auto" w:fill="FFFFFF"/>
        </w:rPr>
        <w:t>Nga mihi,</w:t>
      </w:r>
    </w:p>
    <w:p w14:paraId="7D665ACD" w14:textId="3A856ADE" w:rsidR="00126A07" w:rsidRPr="00126A07" w:rsidRDefault="00126A07" w:rsidP="00126A07">
      <w:pPr>
        <w:rPr>
          <w:rFonts w:asciiTheme="minorHAnsi" w:eastAsia="Times New Roman" w:hAnsiTheme="minorHAnsi" w:cstheme="minorHAnsi"/>
          <w:color w:val="000000" w:themeColor="text1"/>
          <w:shd w:val="clear" w:color="auto" w:fill="FFFFFF"/>
        </w:rPr>
      </w:pPr>
      <w:r w:rsidRPr="00126A07">
        <w:rPr>
          <w:rFonts w:asciiTheme="minorHAnsi" w:eastAsia="Times New Roman" w:hAnsiTheme="minorHAnsi" w:cstheme="minorHAnsi"/>
          <w:color w:val="000000" w:themeColor="text1"/>
          <w:shd w:val="clear" w:color="auto" w:fill="FFFFFF"/>
        </w:rPr>
        <w:t xml:space="preserve">Jon Muller </w:t>
      </w:r>
    </w:p>
    <w:p w14:paraId="2B619759" w14:textId="4528632F" w:rsidR="00126A07" w:rsidRPr="00126A07" w:rsidRDefault="00126A07" w:rsidP="00126A07">
      <w:pPr>
        <w:rPr>
          <w:rFonts w:asciiTheme="minorHAnsi" w:eastAsia="Times New Roman" w:hAnsiTheme="minorHAnsi" w:cstheme="minorHAnsi"/>
          <w:color w:val="000000" w:themeColor="text1"/>
          <w:shd w:val="clear" w:color="auto" w:fill="FFFFFF"/>
        </w:rPr>
      </w:pPr>
      <w:r w:rsidRPr="00126A07">
        <w:rPr>
          <w:rFonts w:asciiTheme="minorHAnsi" w:eastAsia="Times New Roman" w:hAnsiTheme="minorHAnsi" w:cstheme="minorHAnsi"/>
          <w:color w:val="000000" w:themeColor="text1"/>
          <w:shd w:val="clear" w:color="auto" w:fill="FFFFFF"/>
        </w:rPr>
        <w:t>Secretary GE Free NZ in Food and Environment</w:t>
      </w:r>
    </w:p>
    <w:p w14:paraId="5EBBC52D" w14:textId="64883CF7" w:rsidR="00126A07" w:rsidRPr="00126A07" w:rsidRDefault="00126A07" w:rsidP="00126A07">
      <w:pPr>
        <w:rPr>
          <w:rFonts w:asciiTheme="minorHAnsi" w:eastAsia="Times New Roman" w:hAnsiTheme="minorHAnsi" w:cstheme="minorHAnsi"/>
          <w:color w:val="000000" w:themeColor="text1"/>
          <w:shd w:val="clear" w:color="auto" w:fill="FFFFFF"/>
        </w:rPr>
      </w:pPr>
    </w:p>
    <w:p w14:paraId="5997C5F7" w14:textId="269B9A91" w:rsidR="00126A07" w:rsidRPr="00126A07" w:rsidRDefault="00126A07" w:rsidP="00126A07">
      <w:pPr>
        <w:rPr>
          <w:rFonts w:asciiTheme="minorHAnsi" w:eastAsia="Times New Roman" w:hAnsiTheme="minorHAnsi" w:cstheme="minorHAnsi"/>
          <w:color w:val="000000" w:themeColor="text1"/>
          <w:shd w:val="clear" w:color="auto" w:fill="FFFFFF"/>
        </w:rPr>
      </w:pPr>
      <w:r w:rsidRPr="00126A07">
        <w:rPr>
          <w:rFonts w:asciiTheme="minorHAnsi" w:eastAsia="Times New Roman" w:hAnsiTheme="minorHAnsi" w:cstheme="minorHAnsi"/>
          <w:color w:val="000000" w:themeColor="text1"/>
          <w:shd w:val="clear" w:color="auto" w:fill="FFFFFF"/>
        </w:rPr>
        <w:t>Cc: Claire Bleakley</w:t>
      </w:r>
    </w:p>
    <w:p w14:paraId="43A5CF67" w14:textId="77777777" w:rsidR="00126A07" w:rsidRPr="00816074" w:rsidRDefault="00126A07" w:rsidP="00126A07">
      <w:pPr>
        <w:rPr>
          <w:rFonts w:asciiTheme="minorHAnsi" w:hAnsiTheme="minorHAnsi" w:cstheme="minorHAnsi"/>
          <w:color w:val="000000" w:themeColor="text1"/>
        </w:rPr>
      </w:pPr>
    </w:p>
    <w:p w14:paraId="0A5AABF9" w14:textId="77777777" w:rsidR="009C34AF" w:rsidRDefault="009C34AF" w:rsidP="0055490D">
      <w:pPr>
        <w:pStyle w:val="NormalWeb"/>
        <w:rPr>
          <w:rFonts w:asciiTheme="majorHAnsi" w:hAnsiTheme="majorHAnsi" w:cs="Arial"/>
          <w:sz w:val="22"/>
          <w:szCs w:val="22"/>
        </w:rPr>
      </w:pPr>
    </w:p>
    <w:sectPr w:rsidR="009C34AF" w:rsidSect="00921CF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9D7E" w14:textId="77777777" w:rsidR="006B1934" w:rsidRDefault="006B1934" w:rsidP="00126A07">
      <w:r>
        <w:separator/>
      </w:r>
    </w:p>
  </w:endnote>
  <w:endnote w:type="continuationSeparator" w:id="0">
    <w:p w14:paraId="1C0BF65B" w14:textId="77777777" w:rsidR="006B1934" w:rsidRDefault="006B1934" w:rsidP="0012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㱩ꉚ=ʀ龗翊"/>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C6AF9" w14:textId="77777777" w:rsidR="006B1934" w:rsidRDefault="006B1934" w:rsidP="00126A07">
      <w:r>
        <w:separator/>
      </w:r>
    </w:p>
  </w:footnote>
  <w:footnote w:type="continuationSeparator" w:id="0">
    <w:p w14:paraId="2C34AD16" w14:textId="77777777" w:rsidR="006B1934" w:rsidRDefault="006B1934" w:rsidP="00126A07">
      <w:r>
        <w:continuationSeparator/>
      </w:r>
    </w:p>
  </w:footnote>
  <w:footnote w:id="1">
    <w:p w14:paraId="1DA633A1" w14:textId="7A07498B" w:rsidR="00126A07" w:rsidRPr="0025405D" w:rsidRDefault="00126A07" w:rsidP="00100BD2">
      <w:pPr>
        <w:rPr>
          <w:rFonts w:asciiTheme="minorHAnsi" w:eastAsia="Times New Roman" w:hAnsiTheme="minorHAnsi" w:cs="Times New Roman"/>
          <w:sz w:val="22"/>
          <w:szCs w:val="22"/>
          <w:lang w:val="en-NZ" w:eastAsia="en-GB"/>
        </w:rPr>
      </w:pPr>
      <w:r>
        <w:rPr>
          <w:rStyle w:val="FootnoteReference"/>
        </w:rPr>
        <w:footnoteRef/>
      </w:r>
      <w:r>
        <w:t xml:space="preserve"> </w:t>
      </w:r>
      <w:r w:rsidR="0025405D" w:rsidRPr="0025405D">
        <w:rPr>
          <w:rFonts w:asciiTheme="minorHAnsi" w:eastAsia="Times New Roman" w:hAnsiTheme="minorHAnsi" w:cs="Segoe UI"/>
          <w:color w:val="333333"/>
          <w:sz w:val="22"/>
          <w:szCs w:val="22"/>
          <w:shd w:val="clear" w:color="auto" w:fill="FCFCFC"/>
          <w:lang w:val="en-NZ" w:eastAsia="en-GB"/>
        </w:rPr>
        <w:t>Vieira, J.L., Campos, S.O., Smagghe, G. </w:t>
      </w:r>
      <w:r w:rsidR="0025405D" w:rsidRPr="0025405D">
        <w:rPr>
          <w:rFonts w:asciiTheme="minorHAnsi" w:eastAsia="Times New Roman" w:hAnsiTheme="minorHAnsi" w:cs="Segoe UI"/>
          <w:i/>
          <w:iCs/>
          <w:color w:val="333333"/>
          <w:sz w:val="22"/>
          <w:szCs w:val="22"/>
          <w:lang w:val="en-NZ" w:eastAsia="en-GB"/>
        </w:rPr>
        <w:t>et al.</w:t>
      </w:r>
      <w:r w:rsidR="0025405D" w:rsidRPr="0025405D">
        <w:rPr>
          <w:rFonts w:asciiTheme="minorHAnsi" w:eastAsia="Times New Roman" w:hAnsiTheme="minorHAnsi" w:cs="Segoe UI"/>
          <w:color w:val="333333"/>
          <w:sz w:val="22"/>
          <w:szCs w:val="22"/>
          <w:shd w:val="clear" w:color="auto" w:fill="FCFCFC"/>
          <w:lang w:val="en-NZ" w:eastAsia="en-GB"/>
        </w:rPr>
        <w:t> Area-wide survey of thiamethoxam resistance and control failure likelihood in the rice stink bugs </w:t>
      </w:r>
      <w:r w:rsidR="0025405D" w:rsidRPr="0025405D">
        <w:rPr>
          <w:rFonts w:asciiTheme="minorHAnsi" w:eastAsia="Times New Roman" w:hAnsiTheme="minorHAnsi" w:cs="Segoe UI"/>
          <w:i/>
          <w:iCs/>
          <w:color w:val="333333"/>
          <w:sz w:val="22"/>
          <w:szCs w:val="22"/>
          <w:lang w:val="en-NZ" w:eastAsia="en-GB"/>
        </w:rPr>
        <w:t>Oebalus poecilus</w:t>
      </w:r>
      <w:r w:rsidR="0025405D" w:rsidRPr="0025405D">
        <w:rPr>
          <w:rFonts w:asciiTheme="minorHAnsi" w:eastAsia="Times New Roman" w:hAnsiTheme="minorHAnsi" w:cs="Segoe UI"/>
          <w:color w:val="333333"/>
          <w:sz w:val="22"/>
          <w:szCs w:val="22"/>
          <w:shd w:val="clear" w:color="auto" w:fill="FCFCFC"/>
          <w:lang w:val="en-NZ" w:eastAsia="en-GB"/>
        </w:rPr>
        <w:t> and </w:t>
      </w:r>
      <w:r w:rsidR="0025405D" w:rsidRPr="0025405D">
        <w:rPr>
          <w:rFonts w:asciiTheme="minorHAnsi" w:eastAsia="Times New Roman" w:hAnsiTheme="minorHAnsi" w:cs="Segoe UI"/>
          <w:i/>
          <w:iCs/>
          <w:color w:val="333333"/>
          <w:sz w:val="22"/>
          <w:szCs w:val="22"/>
          <w:lang w:val="en-NZ" w:eastAsia="en-GB"/>
        </w:rPr>
        <w:t>O. ypsilongriseus</w:t>
      </w:r>
      <w:r w:rsidR="0025405D" w:rsidRPr="0025405D">
        <w:rPr>
          <w:rFonts w:asciiTheme="minorHAnsi" w:eastAsia="Times New Roman" w:hAnsiTheme="minorHAnsi" w:cs="Segoe UI"/>
          <w:color w:val="333333"/>
          <w:sz w:val="22"/>
          <w:szCs w:val="22"/>
          <w:shd w:val="clear" w:color="auto" w:fill="FCFCFC"/>
          <w:lang w:val="en-NZ" w:eastAsia="en-GB"/>
        </w:rPr>
        <w:t>. </w:t>
      </w:r>
      <w:r w:rsidR="0025405D" w:rsidRPr="0025405D">
        <w:rPr>
          <w:rFonts w:asciiTheme="minorHAnsi" w:eastAsia="Times New Roman" w:hAnsiTheme="minorHAnsi" w:cs="Segoe UI"/>
          <w:i/>
          <w:iCs/>
          <w:color w:val="333333"/>
          <w:sz w:val="22"/>
          <w:szCs w:val="22"/>
          <w:lang w:val="en-NZ" w:eastAsia="en-GB"/>
        </w:rPr>
        <w:t>J Pest Sci</w:t>
      </w:r>
      <w:r w:rsidR="0025405D" w:rsidRPr="0025405D">
        <w:rPr>
          <w:rFonts w:asciiTheme="minorHAnsi" w:eastAsia="Times New Roman" w:hAnsiTheme="minorHAnsi" w:cs="Segoe UI"/>
          <w:color w:val="333333"/>
          <w:sz w:val="22"/>
          <w:szCs w:val="22"/>
          <w:shd w:val="clear" w:color="auto" w:fill="FCFCFC"/>
          <w:lang w:val="en-NZ" w:eastAsia="en-GB"/>
        </w:rPr>
        <w:t> </w:t>
      </w:r>
      <w:r w:rsidR="0025405D" w:rsidRPr="0025405D">
        <w:rPr>
          <w:rFonts w:asciiTheme="minorHAnsi" w:eastAsia="Times New Roman" w:hAnsiTheme="minorHAnsi" w:cs="Segoe UI"/>
          <w:b/>
          <w:bCs/>
          <w:color w:val="333333"/>
          <w:sz w:val="22"/>
          <w:szCs w:val="22"/>
          <w:lang w:val="en-NZ" w:eastAsia="en-GB"/>
        </w:rPr>
        <w:t>95</w:t>
      </w:r>
      <w:r w:rsidR="0025405D" w:rsidRPr="0025405D">
        <w:rPr>
          <w:rFonts w:asciiTheme="minorHAnsi" w:eastAsia="Times New Roman" w:hAnsiTheme="minorHAnsi" w:cs="Segoe UI"/>
          <w:color w:val="333333"/>
          <w:sz w:val="22"/>
          <w:szCs w:val="22"/>
          <w:shd w:val="clear" w:color="auto" w:fill="FCFCFC"/>
          <w:lang w:val="en-NZ" w:eastAsia="en-GB"/>
        </w:rPr>
        <w:t>, 1151–1161 (2022). https://doi.org/10.1007/s10340-021-01445-5</w:t>
      </w:r>
    </w:p>
  </w:footnote>
  <w:footnote w:id="2">
    <w:p w14:paraId="0C1757E5" w14:textId="77777777" w:rsidR="00126A07" w:rsidRPr="0005699C" w:rsidRDefault="00126A07" w:rsidP="00100BD2">
      <w:pPr>
        <w:rPr>
          <w:rFonts w:ascii="Calibri" w:hAnsi="Calibri"/>
          <w:sz w:val="22"/>
          <w:szCs w:val="22"/>
        </w:rPr>
      </w:pPr>
      <w:r w:rsidRPr="0005699C">
        <w:rPr>
          <w:rStyle w:val="FootnoteReference"/>
          <w:rFonts w:ascii="Calibri" w:hAnsi="Calibri"/>
          <w:sz w:val="22"/>
          <w:szCs w:val="22"/>
        </w:rPr>
        <w:footnoteRef/>
      </w:r>
      <w:r w:rsidRPr="0005699C">
        <w:rPr>
          <w:rFonts w:ascii="Calibri" w:hAnsi="Calibri"/>
          <w:sz w:val="22"/>
          <w:szCs w:val="22"/>
        </w:rPr>
        <w:t xml:space="preserve"> </w:t>
      </w:r>
      <w:hyperlink r:id="rId1" w:history="1">
        <w:r w:rsidRPr="00B612EE">
          <w:rPr>
            <w:rStyle w:val="Hyperlink"/>
            <w:rFonts w:ascii="Calibri" w:hAnsi="Calibri" w:cs="Arial"/>
            <w:sz w:val="22"/>
            <w:szCs w:val="22"/>
          </w:rPr>
          <w:t>https://www.syngenta.co.nz/product/crop-protection/insecticide/actara</w:t>
        </w:r>
      </w:hyperlink>
      <w:r>
        <w:rPr>
          <w:rFonts w:ascii="Calibri" w:hAnsi="Calibri" w:cs="Arial"/>
          <w:sz w:val="22"/>
          <w:szCs w:val="22"/>
        </w:rPr>
        <w:t xml:space="preserve"> </w:t>
      </w:r>
    </w:p>
  </w:footnote>
  <w:footnote w:id="3">
    <w:p w14:paraId="0A2B82BE" w14:textId="52260A92" w:rsidR="003F7C4A" w:rsidRPr="003F7C4A" w:rsidRDefault="003F7C4A" w:rsidP="00100BD2">
      <w:pPr>
        <w:rPr>
          <w:rFonts w:asciiTheme="minorHAnsi" w:eastAsia="Times New Roman" w:hAnsiTheme="minorHAnsi" w:cs="Segoe UI"/>
          <w:color w:val="333333"/>
          <w:sz w:val="22"/>
          <w:szCs w:val="22"/>
          <w:shd w:val="clear" w:color="auto" w:fill="FCFCFC"/>
          <w:lang w:val="en-NZ" w:eastAsia="en-GB"/>
        </w:rPr>
      </w:pPr>
      <w:r>
        <w:rPr>
          <w:rStyle w:val="FootnoteReference"/>
        </w:rPr>
        <w:footnoteRef/>
      </w:r>
      <w:r>
        <w:t xml:space="preserve"> </w:t>
      </w:r>
      <w:r w:rsidRPr="008F4311">
        <w:rPr>
          <w:rFonts w:asciiTheme="minorHAnsi" w:eastAsia="Times New Roman" w:hAnsiTheme="minorHAnsi" w:cs="Segoe UI"/>
          <w:color w:val="333333"/>
          <w:sz w:val="22"/>
          <w:szCs w:val="22"/>
          <w:shd w:val="clear" w:color="auto" w:fill="FCFCFC"/>
          <w:lang w:val="en-NZ" w:eastAsia="en-GB"/>
        </w:rPr>
        <w:t>García-Valcárcel, A.I., Campos-Rivela, J.M., Hernando Guil, M.D. </w:t>
      </w:r>
      <w:r w:rsidRPr="008F4311">
        <w:rPr>
          <w:rFonts w:asciiTheme="minorHAnsi" w:eastAsia="Times New Roman" w:hAnsiTheme="minorHAnsi" w:cs="Segoe UI"/>
          <w:i/>
          <w:iCs/>
          <w:color w:val="333333"/>
          <w:sz w:val="22"/>
          <w:szCs w:val="22"/>
          <w:lang w:val="en-NZ" w:eastAsia="en-GB"/>
        </w:rPr>
        <w:t>et al.</w:t>
      </w:r>
      <w:r w:rsidRPr="008F4311">
        <w:rPr>
          <w:rFonts w:asciiTheme="minorHAnsi" w:eastAsia="Times New Roman" w:hAnsiTheme="minorHAnsi" w:cs="Segoe UI"/>
          <w:color w:val="333333"/>
          <w:sz w:val="22"/>
          <w:szCs w:val="22"/>
          <w:shd w:val="clear" w:color="auto" w:fill="FCFCFC"/>
          <w:lang w:val="en-NZ" w:eastAsia="en-GB"/>
        </w:rPr>
        <w:t> Neonicotinoid contamination in wildflowers collected from citrus orchards in a northwestern Mediterranean Region (Spain) after tree foliar treatments. </w:t>
      </w:r>
      <w:r w:rsidRPr="008F4311">
        <w:rPr>
          <w:rFonts w:asciiTheme="minorHAnsi" w:eastAsia="Times New Roman" w:hAnsiTheme="minorHAnsi" w:cs="Segoe UI"/>
          <w:i/>
          <w:iCs/>
          <w:color w:val="333333"/>
          <w:sz w:val="22"/>
          <w:szCs w:val="22"/>
          <w:lang w:val="en-NZ" w:eastAsia="en-GB"/>
        </w:rPr>
        <w:t>Environ Sci Pollut Res</w:t>
      </w:r>
      <w:r w:rsidRPr="008F4311">
        <w:rPr>
          <w:rFonts w:asciiTheme="minorHAnsi" w:eastAsia="Times New Roman" w:hAnsiTheme="minorHAnsi" w:cs="Segoe UI"/>
          <w:color w:val="333333"/>
          <w:sz w:val="22"/>
          <w:szCs w:val="22"/>
          <w:shd w:val="clear" w:color="auto" w:fill="FCFCFC"/>
          <w:lang w:val="en-NZ" w:eastAsia="en-GB"/>
        </w:rPr>
        <w:t> </w:t>
      </w:r>
      <w:r w:rsidRPr="008F4311">
        <w:rPr>
          <w:rFonts w:asciiTheme="minorHAnsi" w:eastAsia="Times New Roman" w:hAnsiTheme="minorHAnsi" w:cs="Segoe UI"/>
          <w:b/>
          <w:bCs/>
          <w:color w:val="333333"/>
          <w:sz w:val="22"/>
          <w:szCs w:val="22"/>
          <w:lang w:val="en-NZ" w:eastAsia="en-GB"/>
        </w:rPr>
        <w:t>29</w:t>
      </w:r>
      <w:r w:rsidRPr="008F4311">
        <w:rPr>
          <w:rFonts w:asciiTheme="minorHAnsi" w:eastAsia="Times New Roman" w:hAnsiTheme="minorHAnsi" w:cs="Segoe UI"/>
          <w:color w:val="333333"/>
          <w:sz w:val="22"/>
          <w:szCs w:val="22"/>
          <w:shd w:val="clear" w:color="auto" w:fill="FCFCFC"/>
          <w:lang w:val="en-NZ" w:eastAsia="en-GB"/>
        </w:rPr>
        <w:t xml:space="preserve">, 53482–53495 (2022). </w:t>
      </w:r>
      <w:hyperlink r:id="rId2" w:history="1">
        <w:r w:rsidRPr="00B612EE">
          <w:rPr>
            <w:rStyle w:val="Hyperlink"/>
            <w:rFonts w:asciiTheme="minorHAnsi" w:eastAsia="Times New Roman" w:hAnsiTheme="minorHAnsi" w:cs="Segoe UI"/>
            <w:sz w:val="22"/>
            <w:szCs w:val="22"/>
            <w:shd w:val="clear" w:color="auto" w:fill="FCFCFC"/>
            <w:lang w:val="en-NZ" w:eastAsia="en-GB"/>
          </w:rPr>
          <w:t>https://doi.org/10.1007/s11356-022-19331-7</w:t>
        </w:r>
      </w:hyperlink>
    </w:p>
  </w:footnote>
  <w:footnote w:id="4">
    <w:p w14:paraId="560D0650" w14:textId="16C31CFB" w:rsidR="00100BD2" w:rsidRPr="00BD7A40" w:rsidRDefault="00100BD2" w:rsidP="00100BD2">
      <w:pPr>
        <w:rPr>
          <w:rFonts w:asciiTheme="minorHAnsi" w:eastAsia="Times New Roman" w:hAnsiTheme="minorHAnsi" w:cs="Times New Roman"/>
          <w:sz w:val="22"/>
          <w:szCs w:val="22"/>
          <w:lang w:val="en-NZ" w:eastAsia="en-GB"/>
        </w:rPr>
      </w:pPr>
      <w:r>
        <w:rPr>
          <w:rStyle w:val="FootnoteReference"/>
        </w:rPr>
        <w:footnoteRef/>
      </w:r>
      <w:r>
        <w:t xml:space="preserve"> </w:t>
      </w:r>
      <w:proofErr w:type="spellStart"/>
      <w:r w:rsidRPr="00BD7A40">
        <w:rPr>
          <w:rFonts w:asciiTheme="minorHAnsi" w:eastAsia="Times New Roman" w:hAnsiTheme="minorHAnsi" w:cs="Times New Roman"/>
          <w:sz w:val="22"/>
          <w:szCs w:val="22"/>
          <w:lang w:val="en-NZ" w:eastAsia="en-GB"/>
        </w:rPr>
        <w:t>Paunescu</w:t>
      </w:r>
      <w:proofErr w:type="spellEnd"/>
      <w:r w:rsidRPr="00BD7A40">
        <w:rPr>
          <w:rFonts w:asciiTheme="minorHAnsi" w:eastAsia="Times New Roman" w:hAnsiTheme="minorHAnsi" w:cs="Times New Roman"/>
          <w:sz w:val="22"/>
          <w:szCs w:val="22"/>
          <w:lang w:val="en-NZ" w:eastAsia="en-GB"/>
        </w:rPr>
        <w:t xml:space="preserve">, A.; </w:t>
      </w:r>
      <w:proofErr w:type="spellStart"/>
      <w:r w:rsidRPr="00BD7A40">
        <w:rPr>
          <w:rFonts w:asciiTheme="minorHAnsi" w:eastAsia="Times New Roman" w:hAnsiTheme="minorHAnsi" w:cs="Times New Roman"/>
          <w:sz w:val="22"/>
          <w:szCs w:val="22"/>
          <w:lang w:val="en-NZ" w:eastAsia="en-GB"/>
        </w:rPr>
        <w:t>Soare</w:t>
      </w:r>
      <w:proofErr w:type="spellEnd"/>
      <w:r w:rsidRPr="00BD7A40">
        <w:rPr>
          <w:rFonts w:asciiTheme="minorHAnsi" w:eastAsia="Times New Roman" w:hAnsiTheme="minorHAnsi" w:cs="Times New Roman"/>
          <w:sz w:val="22"/>
          <w:szCs w:val="22"/>
          <w:lang w:val="en-NZ" w:eastAsia="en-GB"/>
        </w:rPr>
        <w:t xml:space="preserve">, L.C.; </w:t>
      </w:r>
      <w:proofErr w:type="spellStart"/>
      <w:r w:rsidRPr="00BD7A40">
        <w:rPr>
          <w:rFonts w:asciiTheme="minorHAnsi" w:eastAsia="Times New Roman" w:hAnsiTheme="minorHAnsi" w:cs="Times New Roman"/>
          <w:sz w:val="22"/>
          <w:szCs w:val="22"/>
          <w:lang w:val="en-NZ" w:eastAsia="en-GB"/>
        </w:rPr>
        <w:t>Fierascu</w:t>
      </w:r>
      <w:proofErr w:type="spellEnd"/>
      <w:r w:rsidRPr="00BD7A40">
        <w:rPr>
          <w:rFonts w:asciiTheme="minorHAnsi" w:eastAsia="Times New Roman" w:hAnsiTheme="minorHAnsi" w:cs="Times New Roman"/>
          <w:sz w:val="22"/>
          <w:szCs w:val="22"/>
          <w:lang w:val="en-NZ" w:eastAsia="en-GB"/>
        </w:rPr>
        <w:t xml:space="preserve">, I.; </w:t>
      </w:r>
      <w:proofErr w:type="spellStart"/>
      <w:r w:rsidRPr="00BD7A40">
        <w:rPr>
          <w:rFonts w:asciiTheme="minorHAnsi" w:eastAsia="Times New Roman" w:hAnsiTheme="minorHAnsi" w:cs="Times New Roman"/>
          <w:sz w:val="22"/>
          <w:szCs w:val="22"/>
          <w:lang w:val="en-NZ" w:eastAsia="en-GB"/>
        </w:rPr>
        <w:t>Fierascu</w:t>
      </w:r>
      <w:proofErr w:type="spellEnd"/>
      <w:r w:rsidRPr="00BD7A40">
        <w:rPr>
          <w:rFonts w:asciiTheme="minorHAnsi" w:eastAsia="Times New Roman" w:hAnsiTheme="minorHAnsi" w:cs="Times New Roman"/>
          <w:sz w:val="22"/>
          <w:szCs w:val="22"/>
          <w:lang w:val="en-NZ" w:eastAsia="en-GB"/>
        </w:rPr>
        <w:t xml:space="preserve">, R.C.; </w:t>
      </w:r>
      <w:proofErr w:type="spellStart"/>
      <w:r w:rsidRPr="00BD7A40">
        <w:rPr>
          <w:rFonts w:asciiTheme="minorHAnsi" w:eastAsia="Times New Roman" w:hAnsiTheme="minorHAnsi" w:cs="Times New Roman"/>
          <w:sz w:val="22"/>
          <w:szCs w:val="22"/>
          <w:lang w:val="en-NZ" w:eastAsia="en-GB"/>
        </w:rPr>
        <w:t>Mihaescu</w:t>
      </w:r>
      <w:proofErr w:type="spellEnd"/>
      <w:r w:rsidRPr="00BD7A40">
        <w:rPr>
          <w:rFonts w:asciiTheme="minorHAnsi" w:eastAsia="Times New Roman" w:hAnsiTheme="minorHAnsi" w:cs="Times New Roman"/>
          <w:sz w:val="22"/>
          <w:szCs w:val="22"/>
          <w:lang w:val="en-NZ" w:eastAsia="en-GB"/>
        </w:rPr>
        <w:t xml:space="preserve">, C.F.; </w:t>
      </w:r>
      <w:proofErr w:type="spellStart"/>
      <w:r w:rsidRPr="00BD7A40">
        <w:rPr>
          <w:rFonts w:asciiTheme="minorHAnsi" w:eastAsia="Times New Roman" w:hAnsiTheme="minorHAnsi" w:cs="Times New Roman"/>
          <w:sz w:val="22"/>
          <w:szCs w:val="22"/>
          <w:lang w:val="en-NZ" w:eastAsia="en-GB"/>
        </w:rPr>
        <w:t>Tofan</w:t>
      </w:r>
      <w:proofErr w:type="spellEnd"/>
      <w:r w:rsidRPr="00BD7A40">
        <w:rPr>
          <w:rFonts w:asciiTheme="minorHAnsi" w:eastAsia="Times New Roman" w:hAnsiTheme="minorHAnsi" w:cs="Times New Roman"/>
          <w:sz w:val="22"/>
          <w:szCs w:val="22"/>
          <w:lang w:val="en-NZ" w:eastAsia="en-GB"/>
        </w:rPr>
        <w:t xml:space="preserve">, L.; </w:t>
      </w:r>
      <w:proofErr w:type="spellStart"/>
      <w:r w:rsidRPr="00BD7A40">
        <w:rPr>
          <w:rFonts w:asciiTheme="minorHAnsi" w:eastAsia="Times New Roman" w:hAnsiTheme="minorHAnsi" w:cs="Times New Roman"/>
          <w:sz w:val="22"/>
          <w:szCs w:val="22"/>
          <w:lang w:val="en-NZ" w:eastAsia="en-GB"/>
        </w:rPr>
        <w:t>Ponepal</w:t>
      </w:r>
      <w:proofErr w:type="spellEnd"/>
      <w:r w:rsidRPr="00BD7A40">
        <w:rPr>
          <w:rFonts w:asciiTheme="minorHAnsi" w:eastAsia="Times New Roman" w:hAnsiTheme="minorHAnsi" w:cs="Times New Roman"/>
          <w:sz w:val="22"/>
          <w:szCs w:val="22"/>
          <w:lang w:val="en-NZ" w:eastAsia="en-GB"/>
        </w:rPr>
        <w:t>, C.M. Ecotoxicological Studies on the Action of Actara 25 WG Insecticide on Prussian Carp (</w:t>
      </w:r>
      <w:r w:rsidRPr="00BD7A40">
        <w:rPr>
          <w:rFonts w:asciiTheme="minorHAnsi" w:eastAsia="Times New Roman" w:hAnsiTheme="minorHAnsi" w:cs="Times New Roman"/>
          <w:i/>
          <w:iCs/>
          <w:sz w:val="22"/>
          <w:szCs w:val="22"/>
          <w:lang w:val="en-NZ" w:eastAsia="en-GB"/>
        </w:rPr>
        <w:t xml:space="preserve">Carassius </w:t>
      </w:r>
      <w:proofErr w:type="spellStart"/>
      <w:r w:rsidRPr="00BD7A40">
        <w:rPr>
          <w:rFonts w:asciiTheme="minorHAnsi" w:eastAsia="Times New Roman" w:hAnsiTheme="minorHAnsi" w:cs="Times New Roman"/>
          <w:i/>
          <w:iCs/>
          <w:sz w:val="22"/>
          <w:szCs w:val="22"/>
          <w:lang w:val="en-NZ" w:eastAsia="en-GB"/>
        </w:rPr>
        <w:t>gibelio</w:t>
      </w:r>
      <w:proofErr w:type="spellEnd"/>
      <w:r w:rsidRPr="00BD7A40">
        <w:rPr>
          <w:rFonts w:asciiTheme="minorHAnsi" w:eastAsia="Times New Roman" w:hAnsiTheme="minorHAnsi" w:cs="Times New Roman"/>
          <w:sz w:val="22"/>
          <w:szCs w:val="22"/>
          <w:lang w:val="en-NZ" w:eastAsia="en-GB"/>
        </w:rPr>
        <w:t>) and Marsh Frog (</w:t>
      </w:r>
      <w:proofErr w:type="spellStart"/>
      <w:r w:rsidRPr="00BD7A40">
        <w:rPr>
          <w:rFonts w:asciiTheme="minorHAnsi" w:eastAsia="Times New Roman" w:hAnsiTheme="minorHAnsi" w:cs="Times New Roman"/>
          <w:i/>
          <w:iCs/>
          <w:sz w:val="22"/>
          <w:szCs w:val="22"/>
          <w:lang w:val="en-NZ" w:eastAsia="en-GB"/>
        </w:rPr>
        <w:t>Pelophylax</w:t>
      </w:r>
      <w:proofErr w:type="spellEnd"/>
      <w:r w:rsidRPr="00BD7A40">
        <w:rPr>
          <w:rFonts w:asciiTheme="minorHAnsi" w:eastAsia="Times New Roman" w:hAnsiTheme="minorHAnsi" w:cs="Times New Roman"/>
          <w:i/>
          <w:iCs/>
          <w:sz w:val="22"/>
          <w:szCs w:val="22"/>
          <w:lang w:val="en-NZ" w:eastAsia="en-GB"/>
        </w:rPr>
        <w:t xml:space="preserve"> ridibundus</w:t>
      </w:r>
      <w:r w:rsidRPr="00BD7A40">
        <w:rPr>
          <w:rFonts w:asciiTheme="minorHAnsi" w:eastAsia="Times New Roman" w:hAnsiTheme="minorHAnsi" w:cs="Times New Roman"/>
          <w:sz w:val="22"/>
          <w:szCs w:val="22"/>
          <w:lang w:val="en-NZ" w:eastAsia="en-GB"/>
        </w:rPr>
        <w:t xml:space="preserve">). </w:t>
      </w:r>
      <w:r w:rsidRPr="00BD7A40">
        <w:rPr>
          <w:rFonts w:asciiTheme="minorHAnsi" w:eastAsia="Times New Roman" w:hAnsiTheme="minorHAnsi" w:cs="Times New Roman"/>
          <w:i/>
          <w:iCs/>
          <w:sz w:val="22"/>
          <w:szCs w:val="22"/>
          <w:lang w:val="en-NZ" w:eastAsia="en-GB"/>
        </w:rPr>
        <w:t xml:space="preserve">Toxics </w:t>
      </w:r>
      <w:r w:rsidRPr="00BD7A40">
        <w:rPr>
          <w:rFonts w:asciiTheme="minorHAnsi" w:eastAsia="Times New Roman" w:hAnsiTheme="minorHAnsi" w:cs="Times New Roman"/>
          <w:b/>
          <w:bCs/>
          <w:sz w:val="22"/>
          <w:szCs w:val="22"/>
          <w:lang w:val="en-NZ" w:eastAsia="en-GB"/>
        </w:rPr>
        <w:t>2022</w:t>
      </w:r>
      <w:r w:rsidRPr="00BD7A40">
        <w:rPr>
          <w:rFonts w:asciiTheme="minorHAnsi" w:eastAsia="Times New Roman" w:hAnsiTheme="minorHAnsi" w:cs="Times New Roman"/>
          <w:sz w:val="22"/>
          <w:szCs w:val="22"/>
          <w:lang w:val="en-NZ" w:eastAsia="en-GB"/>
        </w:rPr>
        <w:t xml:space="preserve">, </w:t>
      </w:r>
      <w:r w:rsidRPr="00BD7A40">
        <w:rPr>
          <w:rFonts w:asciiTheme="minorHAnsi" w:eastAsia="Times New Roman" w:hAnsiTheme="minorHAnsi" w:cs="Times New Roman"/>
          <w:i/>
          <w:iCs/>
          <w:sz w:val="22"/>
          <w:szCs w:val="22"/>
          <w:lang w:val="en-NZ" w:eastAsia="en-GB"/>
        </w:rPr>
        <w:t>10</w:t>
      </w:r>
      <w:r w:rsidRPr="00BD7A40">
        <w:rPr>
          <w:rFonts w:asciiTheme="minorHAnsi" w:eastAsia="Times New Roman" w:hAnsiTheme="minorHAnsi" w:cs="Times New Roman"/>
          <w:sz w:val="22"/>
          <w:szCs w:val="22"/>
          <w:lang w:val="en-NZ" w:eastAsia="en-GB"/>
        </w:rPr>
        <w:t>, 114. https://doi.org/10.3390/ toxics10030114</w:t>
      </w:r>
      <w:r>
        <w:rPr>
          <w:rFonts w:asciiTheme="minorHAnsi" w:eastAsia="Times New Roman" w:hAnsiTheme="minorHAnsi" w:cs="Times New Roman"/>
          <w:sz w:val="22"/>
          <w:szCs w:val="22"/>
          <w:lang w:val="en-NZ" w:eastAsia="en-GB"/>
        </w:rPr>
        <w:t xml:space="preserve"> </w:t>
      </w:r>
      <w:r w:rsidRPr="00BD7A40">
        <w:rPr>
          <w:rFonts w:asciiTheme="minorHAnsi" w:eastAsia="Times New Roman" w:hAnsiTheme="minorHAnsi" w:cs="Times New Roman"/>
          <w:sz w:val="22"/>
          <w:szCs w:val="22"/>
          <w:lang w:val="en-NZ" w:eastAsia="en-GB"/>
        </w:rPr>
        <w:t xml:space="preserve"> </w:t>
      </w:r>
    </w:p>
    <w:p w14:paraId="19DBCABC" w14:textId="4CB8002E" w:rsidR="00100BD2" w:rsidRDefault="00100BD2">
      <w:pPr>
        <w:pStyle w:val="FootnoteText"/>
      </w:pPr>
    </w:p>
  </w:footnote>
  <w:footnote w:id="5">
    <w:p w14:paraId="7693ACB4" w14:textId="77777777" w:rsidR="00126A07" w:rsidRPr="00F016EA" w:rsidRDefault="00126A07" w:rsidP="00126A07">
      <w:pPr>
        <w:shd w:val="clear" w:color="auto" w:fill="FFFFFF"/>
        <w:rPr>
          <w:rFonts w:ascii="Calibri" w:hAnsi="Calibri" w:cs="Arial"/>
          <w:sz w:val="22"/>
          <w:szCs w:val="22"/>
        </w:rPr>
      </w:pPr>
      <w:r w:rsidRPr="0005699C">
        <w:rPr>
          <w:rStyle w:val="FootnoteReference"/>
          <w:rFonts w:ascii="Calibri" w:hAnsi="Calibri"/>
          <w:sz w:val="22"/>
          <w:szCs w:val="22"/>
        </w:rPr>
        <w:footnoteRef/>
      </w:r>
      <w:r w:rsidRPr="0005699C">
        <w:rPr>
          <w:rFonts w:ascii="Calibri" w:hAnsi="Calibri"/>
          <w:sz w:val="22"/>
          <w:szCs w:val="22"/>
        </w:rPr>
        <w:t xml:space="preserve"> </w:t>
      </w:r>
      <w:hyperlink r:id="rId3" w:history="1">
        <w:r w:rsidRPr="0005699C">
          <w:rPr>
            <w:rStyle w:val="Hyperlink"/>
            <w:rFonts w:ascii="Calibri" w:hAnsi="Calibri" w:cs="Arial"/>
            <w:sz w:val="22"/>
            <w:szCs w:val="22"/>
          </w:rPr>
          <w:t>https://data.consilium.europa.eu/doc/document/ST-13901-2022-INIT/en/pdf</w:t>
        </w:r>
      </w:hyperlink>
    </w:p>
  </w:footnote>
  <w:footnote w:id="6">
    <w:p w14:paraId="1A555E4B" w14:textId="77777777" w:rsidR="00126A07" w:rsidRPr="00590059" w:rsidRDefault="00126A07" w:rsidP="00126A07">
      <w:pPr>
        <w:pStyle w:val="NormalWeb"/>
        <w:shd w:val="clear" w:color="auto" w:fill="FFFFFF"/>
        <w:spacing w:before="0" w:beforeAutospacing="0" w:after="0" w:afterAutospacing="0"/>
        <w:ind w:left="142" w:hanging="142"/>
        <w:rPr>
          <w:rFonts w:ascii="Calibri" w:hAnsi="Calibri" w:cs="Arial"/>
          <w:color w:val="000000" w:themeColor="text1"/>
          <w:sz w:val="22"/>
          <w:szCs w:val="22"/>
        </w:rPr>
      </w:pPr>
      <w:r w:rsidRPr="008E2C48">
        <w:rPr>
          <w:rStyle w:val="FootnoteReference"/>
          <w:rFonts w:ascii="Cambria" w:hAnsi="Cambria"/>
        </w:rPr>
        <w:footnoteRef/>
      </w:r>
      <w:r w:rsidRPr="008E2C48">
        <w:rPr>
          <w:rFonts w:ascii="Cambria" w:hAnsi="Cambria"/>
        </w:rPr>
        <w:t xml:space="preserve"> </w:t>
      </w:r>
      <w:r w:rsidRPr="00590059">
        <w:rPr>
          <w:rFonts w:ascii="Calibri" w:hAnsi="Calibri" w:cs="Arial"/>
          <w:color w:val="000000" w:themeColor="text1"/>
          <w:sz w:val="22"/>
          <w:szCs w:val="22"/>
        </w:rPr>
        <w:t>https://www.realagriculture.com/2021/03/health-canada-introduces-new-restrictions-but-backs-off-proposal-to-ban-two-main-neonics/</w:t>
      </w:r>
    </w:p>
  </w:footnote>
  <w:footnote w:id="7">
    <w:p w14:paraId="580F221C" w14:textId="77777777" w:rsidR="00126A07" w:rsidRPr="00590059" w:rsidRDefault="00126A07" w:rsidP="00126A07">
      <w:pPr>
        <w:pStyle w:val="FootnoteText"/>
        <w:rPr>
          <w:rFonts w:ascii="Calibri" w:hAnsi="Calibri"/>
          <w:color w:val="000000" w:themeColor="text1"/>
          <w:sz w:val="22"/>
          <w:szCs w:val="22"/>
        </w:rPr>
      </w:pPr>
      <w:r w:rsidRPr="00590059">
        <w:rPr>
          <w:rStyle w:val="FootnoteReference"/>
          <w:rFonts w:ascii="Calibri" w:hAnsi="Calibri"/>
          <w:color w:val="000000" w:themeColor="text1"/>
          <w:sz w:val="22"/>
          <w:szCs w:val="22"/>
        </w:rPr>
        <w:footnoteRef/>
      </w:r>
      <w:r w:rsidRPr="00590059">
        <w:rPr>
          <w:rFonts w:ascii="Calibri" w:hAnsi="Calibri"/>
          <w:color w:val="000000" w:themeColor="text1"/>
          <w:sz w:val="22"/>
          <w:szCs w:val="22"/>
        </w:rPr>
        <w:t xml:space="preserve"> https://www.landcareresearch.co.nz/tools-and-resources/education/pollination/</w:t>
      </w:r>
    </w:p>
  </w:footnote>
  <w:footnote w:id="8">
    <w:p w14:paraId="53007601" w14:textId="3B8DC815" w:rsidR="00590059" w:rsidRPr="00590059" w:rsidRDefault="00590059" w:rsidP="00590059">
      <w:pPr>
        <w:pStyle w:val="FootnoteText"/>
        <w:rPr>
          <w:color w:val="000000" w:themeColor="text1"/>
          <w:sz w:val="22"/>
          <w:szCs w:val="22"/>
        </w:rPr>
      </w:pPr>
      <w:r w:rsidRPr="00590059">
        <w:rPr>
          <w:rStyle w:val="FootnoteReference"/>
          <w:color w:val="000000" w:themeColor="text1"/>
        </w:rPr>
        <w:footnoteRef/>
      </w:r>
      <w:r w:rsidRPr="00590059">
        <w:rPr>
          <w:color w:val="000000" w:themeColor="text1"/>
        </w:rPr>
        <w:t xml:space="preserve"> </w:t>
      </w:r>
      <w:r w:rsidRPr="00590059">
        <w:rPr>
          <w:color w:val="000000" w:themeColor="text1"/>
          <w:sz w:val="22"/>
          <w:szCs w:val="22"/>
        </w:rPr>
        <w:t>Scott A. Elias S., (2022) Plight of the Bumblebees, Editor(s): Dominick A.</w:t>
      </w:r>
      <w:r w:rsidR="00012A92">
        <w:rPr>
          <w:color w:val="000000" w:themeColor="text1"/>
          <w:sz w:val="22"/>
          <w:szCs w:val="22"/>
        </w:rPr>
        <w:t xml:space="preserve">DS., </w:t>
      </w:r>
      <w:r w:rsidRPr="00590059">
        <w:rPr>
          <w:color w:val="000000" w:themeColor="text1"/>
          <w:sz w:val="22"/>
          <w:szCs w:val="22"/>
        </w:rPr>
        <w:t>Goldstein</w:t>
      </w:r>
      <w:r w:rsidR="00012A92">
        <w:rPr>
          <w:color w:val="000000" w:themeColor="text1"/>
          <w:sz w:val="22"/>
          <w:szCs w:val="22"/>
        </w:rPr>
        <w:t xml:space="preserve"> M.I</w:t>
      </w:r>
      <w:r w:rsidRPr="00590059">
        <w:rPr>
          <w:color w:val="000000" w:themeColor="text1"/>
          <w:sz w:val="22"/>
          <w:szCs w:val="22"/>
        </w:rPr>
        <w:t xml:space="preserve">, Imperiled: </w:t>
      </w:r>
      <w:r w:rsidRPr="00590059">
        <w:rPr>
          <w:i/>
          <w:iCs/>
          <w:color w:val="000000" w:themeColor="text1"/>
          <w:sz w:val="22"/>
          <w:szCs w:val="22"/>
        </w:rPr>
        <w:t>The Encyclopedia of Conservation,</w:t>
      </w:r>
      <w:r w:rsidRPr="00590059">
        <w:rPr>
          <w:color w:val="000000" w:themeColor="text1"/>
          <w:sz w:val="22"/>
          <w:szCs w:val="22"/>
        </w:rPr>
        <w:t xml:space="preserve"> Elsevier,</w:t>
      </w:r>
      <w:r>
        <w:rPr>
          <w:color w:val="000000" w:themeColor="text1"/>
          <w:sz w:val="22"/>
          <w:szCs w:val="22"/>
        </w:rPr>
        <w:t xml:space="preserve"> pp.</w:t>
      </w:r>
      <w:r w:rsidRPr="00590059">
        <w:rPr>
          <w:color w:val="000000" w:themeColor="text1"/>
          <w:sz w:val="22"/>
          <w:szCs w:val="22"/>
        </w:rPr>
        <w:t>549-565, ISBN 9780128211397, https://doi.org/10.1016/B978-0-12-821139-7.00240-3.</w:t>
      </w:r>
    </w:p>
  </w:footnote>
  <w:footnote w:id="9">
    <w:p w14:paraId="5A1212D5" w14:textId="77777777" w:rsidR="00CF27BB" w:rsidRPr="00126A07" w:rsidRDefault="00CF27BB" w:rsidP="00CF27BB">
      <w:pPr>
        <w:rPr>
          <w:rFonts w:asciiTheme="minorHAnsi" w:hAnsiTheme="minorHAnsi" w:cstheme="minorHAnsi"/>
          <w:color w:val="2E2E2E"/>
          <w:sz w:val="22"/>
          <w:szCs w:val="22"/>
        </w:rPr>
      </w:pPr>
      <w:r w:rsidRPr="00B23A14">
        <w:rPr>
          <w:rStyle w:val="FootnoteReference"/>
          <w:b/>
          <w:bCs/>
          <w:color w:val="000000" w:themeColor="text1"/>
          <w:sz w:val="22"/>
          <w:szCs w:val="22"/>
        </w:rPr>
        <w:footnoteRef/>
      </w:r>
      <w:r w:rsidRPr="00B23A14">
        <w:rPr>
          <w:b/>
          <w:bCs/>
          <w:color w:val="000000" w:themeColor="text1"/>
          <w:sz w:val="22"/>
          <w:szCs w:val="22"/>
        </w:rPr>
        <w:t xml:space="preserve"> </w:t>
      </w:r>
      <w:r w:rsidRPr="00126A07">
        <w:rPr>
          <w:rFonts w:asciiTheme="minorHAnsi" w:hAnsiTheme="minorHAnsi" w:cstheme="minorHAnsi"/>
          <w:color w:val="2E2E2E"/>
          <w:sz w:val="22"/>
          <w:szCs w:val="22"/>
        </w:rPr>
        <w:t>Mörtl M., Darvas B., Vehovszky A., Győri J. &amp; Székács A. (2019)</w:t>
      </w:r>
      <w:r w:rsidRPr="00126A07">
        <w:rPr>
          <w:rStyle w:val="Strong"/>
          <w:rFonts w:asciiTheme="minorHAnsi" w:hAnsiTheme="minorHAnsi" w:cstheme="minorHAnsi"/>
          <w:b w:val="0"/>
          <w:bCs w:val="0"/>
          <w:color w:val="2E2E2E"/>
          <w:sz w:val="22"/>
          <w:szCs w:val="22"/>
        </w:rPr>
        <w:t xml:space="preserve"> Contamination of the guttation liquid of two common weeds with neonicotinoids from coated maize seeds planted in close proximity</w:t>
      </w:r>
      <w:r w:rsidRPr="00126A07">
        <w:rPr>
          <w:rFonts w:asciiTheme="minorHAnsi" w:hAnsiTheme="minorHAnsi" w:cstheme="minorHAnsi"/>
          <w:b/>
          <w:bCs/>
          <w:color w:val="2E2E2E"/>
          <w:sz w:val="22"/>
          <w:szCs w:val="22"/>
        </w:rPr>
        <w:t xml:space="preserve"> </w:t>
      </w:r>
      <w:r w:rsidRPr="0099783D">
        <w:rPr>
          <w:rFonts w:asciiTheme="minorHAnsi" w:hAnsiTheme="minorHAnsi" w:cstheme="minorHAnsi"/>
          <w:i/>
          <w:iCs/>
          <w:color w:val="2E2E2E"/>
          <w:sz w:val="22"/>
          <w:szCs w:val="22"/>
        </w:rPr>
        <w:t>Sci. Total Environ</w:t>
      </w:r>
      <w:r w:rsidRPr="00126A07">
        <w:rPr>
          <w:rFonts w:asciiTheme="minorHAnsi" w:hAnsiTheme="minorHAnsi" w:cstheme="minorHAnsi"/>
          <w:color w:val="2E2E2E"/>
          <w:sz w:val="22"/>
          <w:szCs w:val="22"/>
        </w:rPr>
        <w:t xml:space="preserve">., 649, pp. 1137- 1143. </w:t>
      </w:r>
      <w:hyperlink r:id="rId4" w:tgtFrame="_blank" w:history="1">
        <w:r w:rsidRPr="00126A07">
          <w:rPr>
            <w:rStyle w:val="Hyperlink"/>
            <w:rFonts w:asciiTheme="minorHAnsi" w:hAnsiTheme="minorHAnsi" w:cstheme="minorHAnsi"/>
            <w:color w:val="0C7DBB"/>
            <w:sz w:val="22"/>
            <w:szCs w:val="22"/>
            <w:u w:val="none"/>
          </w:rPr>
          <w:t>10.1016/j.scitotenv.2018.08.271</w:t>
        </w:r>
      </w:hyperlink>
    </w:p>
  </w:footnote>
  <w:footnote w:id="10">
    <w:p w14:paraId="579C7538" w14:textId="77777777" w:rsidR="00126A07" w:rsidRPr="00B23A14" w:rsidRDefault="00126A07" w:rsidP="00126A07">
      <w:pPr>
        <w:ind w:left="142" w:hanging="142"/>
        <w:rPr>
          <w:rFonts w:ascii="Calibri" w:hAnsi="Calibri" w:cs="Arial"/>
          <w:color w:val="000000" w:themeColor="text1"/>
          <w:sz w:val="22"/>
          <w:szCs w:val="22"/>
        </w:rPr>
      </w:pPr>
      <w:r w:rsidRPr="0005699C">
        <w:rPr>
          <w:rStyle w:val="FootnoteReference"/>
          <w:rFonts w:ascii="Calibri" w:hAnsi="Calibri"/>
          <w:sz w:val="22"/>
          <w:szCs w:val="22"/>
        </w:rPr>
        <w:footnoteRef/>
      </w:r>
      <w:r w:rsidRPr="0005699C">
        <w:rPr>
          <w:rFonts w:ascii="Calibri" w:hAnsi="Calibri"/>
          <w:sz w:val="22"/>
          <w:szCs w:val="22"/>
        </w:rPr>
        <w:t xml:space="preserve"> </w:t>
      </w:r>
      <w:r w:rsidRPr="00B23A14">
        <w:rPr>
          <w:rFonts w:ascii="Calibri" w:eastAsia="Times New Roman" w:hAnsi="Calibri" w:cs="Arial"/>
          <w:color w:val="000000" w:themeColor="text1"/>
          <w:sz w:val="22"/>
          <w:szCs w:val="22"/>
          <w:shd w:val="clear" w:color="auto" w:fill="FFFFFF"/>
        </w:rPr>
        <w:t>Tosi, S., Nieh, J.C. (2017) A common neonicotinoid pesticide, thiamethoxam, alters honeybee activity, motor functions, and movement to light. </w:t>
      </w:r>
      <w:r w:rsidRPr="00B23A14">
        <w:rPr>
          <w:rFonts w:ascii="Calibri" w:eastAsia="Times New Roman" w:hAnsi="Calibri" w:cs="Arial"/>
          <w:i/>
          <w:iCs/>
          <w:color w:val="000000" w:themeColor="text1"/>
          <w:sz w:val="22"/>
          <w:szCs w:val="22"/>
          <w:shd w:val="clear" w:color="auto" w:fill="FFFFFF"/>
        </w:rPr>
        <w:t>Sci Rep</w:t>
      </w:r>
      <w:r w:rsidRPr="00B23A14">
        <w:rPr>
          <w:rFonts w:ascii="Calibri" w:eastAsia="Times New Roman" w:hAnsi="Calibri" w:cs="Arial"/>
          <w:color w:val="000000" w:themeColor="text1"/>
          <w:sz w:val="22"/>
          <w:szCs w:val="22"/>
          <w:shd w:val="clear" w:color="auto" w:fill="FFFFFF"/>
        </w:rPr>
        <w:t> </w:t>
      </w:r>
      <w:r w:rsidRPr="00B23A14">
        <w:rPr>
          <w:rFonts w:ascii="Calibri" w:eastAsia="Times New Roman" w:hAnsi="Calibri" w:cs="Arial"/>
          <w:b/>
          <w:bCs/>
          <w:color w:val="000000" w:themeColor="text1"/>
          <w:sz w:val="22"/>
          <w:szCs w:val="22"/>
          <w:shd w:val="clear" w:color="auto" w:fill="FFFFFF"/>
        </w:rPr>
        <w:t>7</w:t>
      </w:r>
      <w:r w:rsidRPr="00B23A14">
        <w:rPr>
          <w:rFonts w:ascii="Calibri" w:eastAsia="Times New Roman" w:hAnsi="Calibri" w:cs="Arial"/>
          <w:color w:val="000000" w:themeColor="text1"/>
          <w:sz w:val="22"/>
          <w:szCs w:val="22"/>
          <w:shd w:val="clear" w:color="auto" w:fill="FFFFFF"/>
        </w:rPr>
        <w:t xml:space="preserve">, 15132 </w:t>
      </w:r>
      <w:hyperlink r:id="rId5" w:history="1">
        <w:r w:rsidRPr="00B23A14">
          <w:rPr>
            <w:rStyle w:val="Hyperlink"/>
            <w:rFonts w:ascii="Calibri" w:hAnsi="Calibri" w:cs="Arial"/>
            <w:color w:val="000000" w:themeColor="text1"/>
            <w:sz w:val="22"/>
            <w:szCs w:val="22"/>
          </w:rPr>
          <w:t>https://www.nature.com/articles/s41598-017-15308-6</w:t>
        </w:r>
      </w:hyperlink>
    </w:p>
  </w:footnote>
  <w:footnote w:id="11">
    <w:p w14:paraId="2849D883" w14:textId="77777777" w:rsidR="00126A07" w:rsidRPr="00B23A14" w:rsidRDefault="00126A07" w:rsidP="00126A07">
      <w:pPr>
        <w:pStyle w:val="NormalWeb"/>
        <w:spacing w:before="0" w:beforeAutospacing="0" w:after="0" w:afterAutospacing="0"/>
        <w:ind w:left="142" w:hanging="142"/>
        <w:rPr>
          <w:rFonts w:ascii="Calibri" w:hAnsi="Calibri"/>
          <w:color w:val="000000" w:themeColor="text1"/>
          <w:sz w:val="22"/>
          <w:szCs w:val="22"/>
        </w:rPr>
      </w:pPr>
      <w:r w:rsidRPr="00B23A14">
        <w:rPr>
          <w:rStyle w:val="FootnoteReference"/>
          <w:rFonts w:ascii="Calibri" w:hAnsi="Calibri"/>
          <w:color w:val="000000" w:themeColor="text1"/>
          <w:sz w:val="22"/>
          <w:szCs w:val="22"/>
        </w:rPr>
        <w:footnoteRef/>
      </w:r>
      <w:r w:rsidRPr="00B23A14">
        <w:rPr>
          <w:rFonts w:ascii="Calibri" w:hAnsi="Calibri"/>
          <w:color w:val="000000" w:themeColor="text1"/>
          <w:sz w:val="22"/>
          <w:szCs w:val="22"/>
        </w:rPr>
        <w:t xml:space="preserve"> Coulon, M.</w:t>
      </w:r>
      <w:r w:rsidRPr="00B23A14">
        <w:rPr>
          <w:rStyle w:val="apple-converted-space"/>
          <w:rFonts w:ascii="Calibri" w:hAnsi="Calibri"/>
          <w:color w:val="000000" w:themeColor="text1"/>
          <w:sz w:val="22"/>
          <w:szCs w:val="22"/>
        </w:rPr>
        <w:t> </w:t>
      </w:r>
      <w:r w:rsidRPr="00B23A14">
        <w:rPr>
          <w:rFonts w:ascii="Calibri" w:hAnsi="Calibri"/>
          <w:i/>
          <w:iCs/>
          <w:color w:val="000000" w:themeColor="text1"/>
          <w:sz w:val="22"/>
          <w:szCs w:val="22"/>
        </w:rPr>
        <w:t>et al.</w:t>
      </w:r>
      <w:r w:rsidRPr="00B23A14">
        <w:rPr>
          <w:rStyle w:val="apple-converted-space"/>
          <w:rFonts w:ascii="Calibri" w:hAnsi="Calibri"/>
          <w:color w:val="000000" w:themeColor="text1"/>
          <w:sz w:val="22"/>
          <w:szCs w:val="22"/>
        </w:rPr>
        <w:t> </w:t>
      </w:r>
      <w:r w:rsidRPr="00B23A14">
        <w:rPr>
          <w:rFonts w:ascii="Calibri" w:hAnsi="Calibri"/>
          <w:color w:val="000000" w:themeColor="text1"/>
          <w:sz w:val="22"/>
          <w:szCs w:val="22"/>
        </w:rPr>
        <w:t>(2018) “Metabolisation of thiamethoxam (a neonicotinoid pesticide) and interaction with the chronic bee paralysis virus in Honeybees,”</w:t>
      </w:r>
      <w:r w:rsidRPr="00B23A14">
        <w:rPr>
          <w:rStyle w:val="apple-converted-space"/>
          <w:rFonts w:ascii="Calibri" w:hAnsi="Calibri"/>
          <w:color w:val="000000" w:themeColor="text1"/>
          <w:sz w:val="22"/>
          <w:szCs w:val="22"/>
        </w:rPr>
        <w:t> </w:t>
      </w:r>
      <w:r w:rsidRPr="00B23A14">
        <w:rPr>
          <w:rFonts w:ascii="Calibri" w:hAnsi="Calibri"/>
          <w:i/>
          <w:iCs/>
          <w:color w:val="000000" w:themeColor="text1"/>
          <w:sz w:val="22"/>
          <w:szCs w:val="22"/>
        </w:rPr>
        <w:t>Pesticide Biochemistry and Physiology</w:t>
      </w:r>
      <w:r w:rsidRPr="00B23A14">
        <w:rPr>
          <w:rFonts w:ascii="Calibri" w:hAnsi="Calibri"/>
          <w:color w:val="000000" w:themeColor="text1"/>
          <w:sz w:val="22"/>
          <w:szCs w:val="22"/>
        </w:rPr>
        <w:t>, 144, pp. 10–18. Available at: https://doi.org/10.1016/j.pestbp.2017.10.009.</w:t>
      </w:r>
      <w:r w:rsidRPr="00B23A14">
        <w:rPr>
          <w:rStyle w:val="apple-converted-space"/>
          <w:rFonts w:ascii="Calibri" w:hAnsi="Calibri"/>
          <w:color w:val="000000" w:themeColor="text1"/>
          <w:sz w:val="22"/>
          <w:szCs w:val="22"/>
        </w:rPr>
        <w:t> </w:t>
      </w:r>
    </w:p>
  </w:footnote>
  <w:footnote w:id="12">
    <w:p w14:paraId="3403D409" w14:textId="4A09173B" w:rsidR="00126A07" w:rsidRPr="00B23A14" w:rsidRDefault="00126A07" w:rsidP="00126A07">
      <w:pPr>
        <w:pStyle w:val="NormalWeb"/>
        <w:tabs>
          <w:tab w:val="left" w:pos="142"/>
        </w:tabs>
        <w:spacing w:before="0" w:beforeAutospacing="0" w:after="0" w:afterAutospacing="0"/>
        <w:ind w:left="142" w:hanging="142"/>
        <w:rPr>
          <w:rFonts w:ascii="Calibri" w:hAnsi="Calibri"/>
          <w:color w:val="000000" w:themeColor="text1"/>
          <w:sz w:val="22"/>
          <w:szCs w:val="22"/>
        </w:rPr>
      </w:pPr>
      <w:r w:rsidRPr="00B23A14">
        <w:rPr>
          <w:rStyle w:val="FootnoteReference"/>
          <w:rFonts w:ascii="Calibri" w:hAnsi="Calibri"/>
          <w:color w:val="000000" w:themeColor="text1"/>
          <w:sz w:val="22"/>
          <w:szCs w:val="22"/>
        </w:rPr>
        <w:footnoteRef/>
      </w:r>
      <w:r w:rsidRPr="00B23A14">
        <w:rPr>
          <w:rFonts w:ascii="Calibri" w:hAnsi="Calibri"/>
          <w:color w:val="000000" w:themeColor="text1"/>
          <w:sz w:val="22"/>
          <w:szCs w:val="22"/>
        </w:rPr>
        <w:t xml:space="preserve"> Wang, D.</w:t>
      </w:r>
      <w:r w:rsidRPr="00B23A14">
        <w:rPr>
          <w:rStyle w:val="apple-converted-space"/>
          <w:rFonts w:ascii="Calibri" w:hAnsi="Calibri"/>
          <w:color w:val="000000" w:themeColor="text1"/>
          <w:sz w:val="22"/>
          <w:szCs w:val="22"/>
        </w:rPr>
        <w:t> </w:t>
      </w:r>
      <w:r w:rsidRPr="00B23A14">
        <w:rPr>
          <w:rFonts w:ascii="Calibri" w:hAnsi="Calibri"/>
          <w:i/>
          <w:iCs/>
          <w:color w:val="000000" w:themeColor="text1"/>
          <w:sz w:val="22"/>
          <w:szCs w:val="22"/>
        </w:rPr>
        <w:t>et al.</w:t>
      </w:r>
      <w:r w:rsidRPr="00B23A14">
        <w:rPr>
          <w:rStyle w:val="apple-converted-space"/>
          <w:rFonts w:ascii="Calibri" w:hAnsi="Calibri"/>
          <w:color w:val="000000" w:themeColor="text1"/>
          <w:sz w:val="22"/>
          <w:szCs w:val="22"/>
        </w:rPr>
        <w:t> </w:t>
      </w:r>
      <w:r w:rsidRPr="00B23A14">
        <w:rPr>
          <w:rFonts w:ascii="Calibri" w:hAnsi="Calibri"/>
          <w:color w:val="000000" w:themeColor="text1"/>
          <w:sz w:val="22"/>
          <w:szCs w:val="22"/>
        </w:rPr>
        <w:t>(2022) “Joint Toxic Effects of Thiamethoxam and fluconazole on the adult worker honey bees (apis mellifera L.),”</w:t>
      </w:r>
      <w:r w:rsidRPr="00B23A14">
        <w:rPr>
          <w:rStyle w:val="apple-converted-space"/>
          <w:rFonts w:ascii="Calibri" w:hAnsi="Calibri"/>
          <w:color w:val="000000" w:themeColor="text1"/>
          <w:sz w:val="22"/>
          <w:szCs w:val="22"/>
        </w:rPr>
        <w:t> </w:t>
      </w:r>
      <w:r w:rsidRPr="00B23A14">
        <w:rPr>
          <w:rFonts w:ascii="Calibri" w:hAnsi="Calibri"/>
          <w:i/>
          <w:iCs/>
          <w:color w:val="000000" w:themeColor="text1"/>
          <w:sz w:val="22"/>
          <w:szCs w:val="22"/>
        </w:rPr>
        <w:t>Environmental Pollution</w:t>
      </w:r>
      <w:r w:rsidRPr="00B23A14">
        <w:rPr>
          <w:rFonts w:ascii="Calibri" w:hAnsi="Calibri"/>
          <w:color w:val="000000" w:themeColor="text1"/>
          <w:sz w:val="22"/>
          <w:szCs w:val="22"/>
        </w:rPr>
        <w:t>, p. 120806.</w:t>
      </w:r>
      <w:r w:rsidR="0099783D">
        <w:rPr>
          <w:rFonts w:ascii="Calibri" w:hAnsi="Calibri"/>
          <w:color w:val="000000" w:themeColor="text1"/>
          <w:sz w:val="22"/>
          <w:szCs w:val="22"/>
        </w:rPr>
        <w:t xml:space="preserve"> </w:t>
      </w:r>
      <w:r w:rsidRPr="00B23A14">
        <w:rPr>
          <w:rFonts w:ascii="Calibri" w:hAnsi="Calibri"/>
          <w:color w:val="000000" w:themeColor="text1"/>
          <w:sz w:val="22"/>
          <w:szCs w:val="22"/>
        </w:rPr>
        <w:t>https://doi.org/10.1016/j.envpol.2022.120806.</w:t>
      </w:r>
      <w:r w:rsidRPr="00B23A14">
        <w:rPr>
          <w:rStyle w:val="apple-converted-space"/>
          <w:rFonts w:ascii="Calibri" w:hAnsi="Calibri"/>
          <w:color w:val="000000" w:themeColor="text1"/>
          <w:sz w:val="22"/>
          <w:szCs w:val="22"/>
        </w:rPr>
        <w:t> </w:t>
      </w:r>
    </w:p>
  </w:footnote>
  <w:footnote w:id="13">
    <w:p w14:paraId="11EA2AD3" w14:textId="77777777" w:rsidR="00126A07" w:rsidRPr="00B23A14" w:rsidRDefault="00126A07" w:rsidP="00126A07">
      <w:pPr>
        <w:ind w:left="142" w:hanging="142"/>
        <w:rPr>
          <w:rFonts w:ascii="Calibri" w:eastAsia="Times New Roman" w:hAnsi="Calibri"/>
          <w:color w:val="000000" w:themeColor="text1"/>
          <w:sz w:val="22"/>
          <w:szCs w:val="22"/>
        </w:rPr>
      </w:pPr>
      <w:r w:rsidRPr="00B23A14">
        <w:rPr>
          <w:rStyle w:val="FootnoteReference"/>
          <w:rFonts w:ascii="Calibri" w:hAnsi="Calibri"/>
          <w:color w:val="000000" w:themeColor="text1"/>
          <w:sz w:val="22"/>
          <w:szCs w:val="22"/>
        </w:rPr>
        <w:footnoteRef/>
      </w:r>
      <w:r w:rsidRPr="00B23A14">
        <w:rPr>
          <w:rFonts w:ascii="Calibri" w:hAnsi="Calibri"/>
          <w:color w:val="000000" w:themeColor="text1"/>
          <w:sz w:val="22"/>
          <w:szCs w:val="22"/>
        </w:rPr>
        <w:t xml:space="preserve"> </w:t>
      </w:r>
      <w:r w:rsidRPr="00B23A14">
        <w:rPr>
          <w:rFonts w:ascii="Calibri" w:eastAsia="Times New Roman" w:hAnsi="Calibri"/>
          <w:color w:val="000000" w:themeColor="text1"/>
          <w:sz w:val="22"/>
          <w:szCs w:val="22"/>
          <w:shd w:val="clear" w:color="auto" w:fill="FFFFFF"/>
        </w:rPr>
        <w:t>Liu, N., Pan, X., Yang, Q. </w:t>
      </w:r>
      <w:r w:rsidRPr="00B23A14">
        <w:rPr>
          <w:rFonts w:ascii="Calibri" w:eastAsia="Times New Roman" w:hAnsi="Calibri"/>
          <w:i/>
          <w:iCs/>
          <w:color w:val="000000" w:themeColor="text1"/>
          <w:sz w:val="22"/>
          <w:szCs w:val="22"/>
        </w:rPr>
        <w:t>et al.</w:t>
      </w:r>
      <w:r w:rsidRPr="00B23A14">
        <w:rPr>
          <w:rFonts w:ascii="Calibri" w:eastAsia="Times New Roman" w:hAnsi="Calibri"/>
          <w:color w:val="000000" w:themeColor="text1"/>
          <w:sz w:val="22"/>
          <w:szCs w:val="22"/>
          <w:shd w:val="clear" w:color="auto" w:fill="FFFFFF"/>
        </w:rPr>
        <w:t> The dissipation of thiamethoxam and its main metabolite clothianidin during strawberry growth and jam-making process. </w:t>
      </w:r>
      <w:r w:rsidRPr="00B23A14">
        <w:rPr>
          <w:rFonts w:ascii="Calibri" w:eastAsia="Times New Roman" w:hAnsi="Calibri"/>
          <w:i/>
          <w:iCs/>
          <w:color w:val="000000" w:themeColor="text1"/>
          <w:sz w:val="22"/>
          <w:szCs w:val="22"/>
        </w:rPr>
        <w:t>Sci Rep</w:t>
      </w:r>
      <w:r w:rsidRPr="00B23A14">
        <w:rPr>
          <w:rFonts w:ascii="Calibri" w:eastAsia="Times New Roman" w:hAnsi="Calibri"/>
          <w:color w:val="000000" w:themeColor="text1"/>
          <w:sz w:val="22"/>
          <w:szCs w:val="22"/>
          <w:shd w:val="clear" w:color="auto" w:fill="FFFFFF"/>
        </w:rPr>
        <w:t> </w:t>
      </w:r>
      <w:r w:rsidRPr="00B23A14">
        <w:rPr>
          <w:rFonts w:ascii="Calibri" w:eastAsia="Times New Roman" w:hAnsi="Calibri"/>
          <w:b/>
          <w:bCs/>
          <w:color w:val="000000" w:themeColor="text1"/>
          <w:sz w:val="22"/>
          <w:szCs w:val="22"/>
        </w:rPr>
        <w:t>8</w:t>
      </w:r>
      <w:r w:rsidRPr="00B23A14">
        <w:rPr>
          <w:rFonts w:ascii="Calibri" w:eastAsia="Times New Roman" w:hAnsi="Calibri"/>
          <w:color w:val="000000" w:themeColor="text1"/>
          <w:sz w:val="22"/>
          <w:szCs w:val="22"/>
          <w:shd w:val="clear" w:color="auto" w:fill="FFFFFF"/>
        </w:rPr>
        <w:t>, 15242 (2018). https://doi.org/10.1038/s41598-018-33334-w</w:t>
      </w:r>
    </w:p>
  </w:footnote>
  <w:footnote w:id="14">
    <w:p w14:paraId="0D1D8F51" w14:textId="77777777" w:rsidR="00126A07" w:rsidRPr="00126A07" w:rsidRDefault="00126A07" w:rsidP="00126A07">
      <w:pPr>
        <w:pStyle w:val="Heading1"/>
        <w:rPr>
          <w:rFonts w:asciiTheme="minorHAnsi" w:hAnsiTheme="minorHAnsi" w:cs="Arial"/>
          <w:bCs/>
          <w:color w:val="222222"/>
          <w:sz w:val="22"/>
          <w:szCs w:val="22"/>
        </w:rPr>
      </w:pPr>
      <w:r w:rsidRPr="00126A07">
        <w:rPr>
          <w:rStyle w:val="FootnoteReference"/>
          <w:rFonts w:asciiTheme="minorHAnsi" w:hAnsiTheme="minorHAnsi"/>
          <w:bCs/>
          <w:color w:val="000000" w:themeColor="text1"/>
          <w:sz w:val="22"/>
          <w:szCs w:val="22"/>
        </w:rPr>
        <w:footnoteRef/>
      </w:r>
      <w:r w:rsidRPr="00126A07">
        <w:rPr>
          <w:rFonts w:asciiTheme="minorHAnsi" w:hAnsiTheme="minorHAnsi"/>
          <w:bCs/>
          <w:color w:val="000000" w:themeColor="text1"/>
          <w:sz w:val="22"/>
          <w:szCs w:val="22"/>
        </w:rPr>
        <w:t xml:space="preserve"> </w:t>
      </w:r>
      <w:r w:rsidRPr="00126A07">
        <w:rPr>
          <w:rFonts w:asciiTheme="minorHAnsi" w:hAnsiTheme="minorHAnsi" w:cs="Arial"/>
          <w:bCs/>
          <w:color w:val="000000" w:themeColor="text1"/>
          <w:sz w:val="22"/>
          <w:szCs w:val="22"/>
        </w:rPr>
        <w:t xml:space="preserve">APP203336 </w:t>
      </w:r>
      <w:hyperlink r:id="rId6" w:history="1">
        <w:r w:rsidRPr="00126A07">
          <w:rPr>
            <w:rStyle w:val="Hyperlink"/>
            <w:rFonts w:asciiTheme="minorHAnsi" w:hAnsiTheme="minorHAnsi" w:cs="Arial"/>
            <w:bCs/>
            <w:sz w:val="22"/>
            <w:szCs w:val="22"/>
          </w:rPr>
          <w:t>https://www.epa.govt.nz/assets/FileAPI/hsnoar/APP203336/0ed5350647/APP203336-Decision.pdf</w:t>
        </w:r>
      </w:hyperlink>
    </w:p>
  </w:footnote>
  <w:footnote w:id="15">
    <w:p w14:paraId="420FD631" w14:textId="77777777" w:rsidR="00126A07" w:rsidRPr="00126A07" w:rsidRDefault="00126A07" w:rsidP="00126A07">
      <w:pPr>
        <w:pStyle w:val="FootnoteText"/>
        <w:rPr>
          <w:rFonts w:asciiTheme="minorHAnsi" w:hAnsiTheme="minorHAnsi"/>
          <w:sz w:val="22"/>
          <w:szCs w:val="22"/>
        </w:rPr>
      </w:pPr>
      <w:r w:rsidRPr="00126A07">
        <w:rPr>
          <w:rStyle w:val="FootnoteReference"/>
          <w:rFonts w:asciiTheme="minorHAnsi" w:hAnsiTheme="minorHAnsi"/>
          <w:sz w:val="22"/>
          <w:szCs w:val="22"/>
        </w:rPr>
        <w:footnoteRef/>
      </w:r>
      <w:r w:rsidRPr="00126A07">
        <w:rPr>
          <w:rFonts w:asciiTheme="minorHAnsi" w:hAnsiTheme="minorHAnsi"/>
          <w:sz w:val="22"/>
          <w:szCs w:val="22"/>
        </w:rPr>
        <w:t xml:space="preserve"> </w:t>
      </w:r>
      <w:hyperlink r:id="rId7" w:history="1">
        <w:r w:rsidRPr="00126A07">
          <w:rPr>
            <w:rStyle w:val="Hyperlink"/>
            <w:rFonts w:asciiTheme="minorHAnsi" w:hAnsiTheme="minorHAnsi" w:cs="Arial"/>
            <w:sz w:val="22"/>
            <w:szCs w:val="22"/>
          </w:rPr>
          <w:t>https://rodaleinstitute.org/science/articles/managing-the-brown-marmorated-stink-bug-organically/</w:t>
        </w:r>
      </w:hyperlink>
    </w:p>
  </w:footnote>
  <w:footnote w:id="16">
    <w:p w14:paraId="7498DF61" w14:textId="77777777" w:rsidR="00126A07" w:rsidRPr="00126A07" w:rsidRDefault="00126A07" w:rsidP="00126A07">
      <w:pPr>
        <w:rPr>
          <w:rFonts w:asciiTheme="minorHAnsi" w:eastAsia="Times New Roman" w:hAnsiTheme="minorHAnsi" w:cs="Arial"/>
          <w:color w:val="212121"/>
          <w:sz w:val="22"/>
          <w:szCs w:val="22"/>
          <w:shd w:val="clear" w:color="auto" w:fill="FFFFFF"/>
        </w:rPr>
      </w:pPr>
      <w:r w:rsidRPr="00126A07">
        <w:rPr>
          <w:rStyle w:val="FootnoteReference"/>
          <w:rFonts w:asciiTheme="minorHAnsi" w:hAnsiTheme="minorHAnsi"/>
          <w:sz w:val="22"/>
          <w:szCs w:val="22"/>
        </w:rPr>
        <w:footnoteRef/>
      </w:r>
      <w:r w:rsidRPr="00126A07">
        <w:rPr>
          <w:rFonts w:asciiTheme="minorHAnsi" w:hAnsiTheme="minorHAnsi"/>
          <w:sz w:val="22"/>
          <w:szCs w:val="22"/>
        </w:rPr>
        <w:t xml:space="preserve"> </w:t>
      </w:r>
      <w:r w:rsidRPr="00126A07">
        <w:rPr>
          <w:rFonts w:asciiTheme="minorHAnsi" w:eastAsia="Times New Roman" w:hAnsiTheme="minorHAnsi" w:cs="Arial"/>
          <w:color w:val="212121"/>
          <w:sz w:val="22"/>
          <w:szCs w:val="22"/>
          <w:shd w:val="clear" w:color="auto" w:fill="FFFFFF"/>
        </w:rPr>
        <w:t xml:space="preserve">Nielsen AL, Dively G, Pote JM, Zinati G, Mathews C. Identifying a Potential Trap Crop for a Novel Insect Pest, Halyomorpha halys (Hemiptera: Pentatomidae), in Organic Farms. </w:t>
      </w:r>
      <w:r w:rsidRPr="0099783D">
        <w:rPr>
          <w:rFonts w:asciiTheme="minorHAnsi" w:eastAsia="Times New Roman" w:hAnsiTheme="minorHAnsi" w:cs="Arial"/>
          <w:i/>
          <w:iCs/>
          <w:color w:val="212121"/>
          <w:sz w:val="22"/>
          <w:szCs w:val="22"/>
          <w:shd w:val="clear" w:color="auto" w:fill="FFFFFF"/>
        </w:rPr>
        <w:t>Environ Entomol</w:t>
      </w:r>
      <w:r w:rsidRPr="00126A07">
        <w:rPr>
          <w:rFonts w:asciiTheme="minorHAnsi" w:eastAsia="Times New Roman" w:hAnsiTheme="minorHAnsi" w:cs="Arial"/>
          <w:color w:val="212121"/>
          <w:sz w:val="22"/>
          <w:szCs w:val="22"/>
          <w:shd w:val="clear" w:color="auto" w:fill="FFFFFF"/>
        </w:rPr>
        <w:t>. 2016 Apr;45(2):472-8. doi: 10.1093/ee/nvw006. Epub 2016 Feb 25. PMID: 26916518.</w:t>
      </w:r>
    </w:p>
    <w:p w14:paraId="27BE7451" w14:textId="77777777" w:rsidR="00126A07" w:rsidRPr="0005699C" w:rsidRDefault="00126A07" w:rsidP="00126A07">
      <w:pPr>
        <w:pStyle w:val="FootnoteText"/>
        <w:rPr>
          <w:rFonts w:ascii="Calibri" w:hAnsi="Calibr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55180B"/>
    <w:multiLevelType w:val="hybridMultilevel"/>
    <w:tmpl w:val="19D8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0A30"/>
    <w:multiLevelType w:val="hybridMultilevel"/>
    <w:tmpl w:val="212E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0455F"/>
    <w:multiLevelType w:val="hybridMultilevel"/>
    <w:tmpl w:val="4482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B50D9"/>
    <w:multiLevelType w:val="hybridMultilevel"/>
    <w:tmpl w:val="A7D2A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ocumentProtection w:edit="readOnly" w:enforcement="1"/>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2"/>
    <w:rsid w:val="00011637"/>
    <w:rsid w:val="00012A92"/>
    <w:rsid w:val="00036701"/>
    <w:rsid w:val="00100BD2"/>
    <w:rsid w:val="00117500"/>
    <w:rsid w:val="00126A07"/>
    <w:rsid w:val="00151B90"/>
    <w:rsid w:val="0025405D"/>
    <w:rsid w:val="00255E35"/>
    <w:rsid w:val="002F2596"/>
    <w:rsid w:val="00371F55"/>
    <w:rsid w:val="00386767"/>
    <w:rsid w:val="003F7C4A"/>
    <w:rsid w:val="00520576"/>
    <w:rsid w:val="00542C81"/>
    <w:rsid w:val="0055490D"/>
    <w:rsid w:val="00560BA2"/>
    <w:rsid w:val="00575E8D"/>
    <w:rsid w:val="00590059"/>
    <w:rsid w:val="0063614C"/>
    <w:rsid w:val="006B1934"/>
    <w:rsid w:val="00744826"/>
    <w:rsid w:val="008047C4"/>
    <w:rsid w:val="0088164A"/>
    <w:rsid w:val="00893D6F"/>
    <w:rsid w:val="008F4311"/>
    <w:rsid w:val="00921CF2"/>
    <w:rsid w:val="00941D19"/>
    <w:rsid w:val="0099783D"/>
    <w:rsid w:val="009A6635"/>
    <w:rsid w:val="009C34AF"/>
    <w:rsid w:val="00A00891"/>
    <w:rsid w:val="00BD7A40"/>
    <w:rsid w:val="00C06AF3"/>
    <w:rsid w:val="00C14FCB"/>
    <w:rsid w:val="00C24B87"/>
    <w:rsid w:val="00C257E8"/>
    <w:rsid w:val="00C738AD"/>
    <w:rsid w:val="00CB7AC6"/>
    <w:rsid w:val="00CF27BB"/>
    <w:rsid w:val="00CF2C3E"/>
    <w:rsid w:val="00D11C27"/>
    <w:rsid w:val="00D753F3"/>
    <w:rsid w:val="00E97299"/>
    <w:rsid w:val="00EF7E88"/>
    <w:rsid w:val="00F1233F"/>
    <w:rsid w:val="00F33ECB"/>
    <w:rsid w:val="00F57BDC"/>
    <w:rsid w:val="00FD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A60A1"/>
  <w14:defaultImageDpi w14:val="300"/>
  <w15:docId w15:val="{B86240F2-1FC4-2949-B2AC-067DBBA3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35"/>
    <w:rPr>
      <w:rFonts w:ascii="Times New Roman" w:hAnsi="Times New Roman"/>
    </w:rPr>
  </w:style>
  <w:style w:type="paragraph" w:styleId="Heading1">
    <w:name w:val="heading 1"/>
    <w:basedOn w:val="Normal"/>
    <w:next w:val="Normal"/>
    <w:link w:val="Heading1Char"/>
    <w:qFormat/>
    <w:rsid w:val="00011637"/>
    <w:pPr>
      <w:keepNext/>
      <w:outlineLvl w:val="0"/>
    </w:pPr>
    <w:rPr>
      <w:rFonts w:eastAsia="Times New Roman" w:cs="Times New Roman"/>
      <w:sz w:val="28"/>
      <w:szCs w:val="20"/>
      <w:lang w:val="en-AU"/>
    </w:rPr>
  </w:style>
  <w:style w:type="paragraph" w:styleId="Heading2">
    <w:name w:val="heading 2"/>
    <w:basedOn w:val="Normal"/>
    <w:next w:val="Normal"/>
    <w:link w:val="Heading2Char"/>
    <w:qFormat/>
    <w:rsid w:val="00011637"/>
    <w:pPr>
      <w:keepNext/>
      <w:outlineLvl w:val="1"/>
    </w:pPr>
    <w:rPr>
      <w:rFonts w:eastAsia="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635"/>
    <w:pPr>
      <w:spacing w:before="100" w:beforeAutospacing="1" w:after="100" w:afterAutospacing="1"/>
    </w:pPr>
    <w:rPr>
      <w:rFonts w:ascii="Times" w:hAnsi="Times" w:cs="Times New Roman"/>
      <w:sz w:val="20"/>
      <w:szCs w:val="20"/>
      <w:lang w:val="en-NZ"/>
    </w:rPr>
  </w:style>
  <w:style w:type="character" w:customStyle="1" w:styleId="Heading1Char">
    <w:name w:val="Heading 1 Char"/>
    <w:basedOn w:val="DefaultParagraphFont"/>
    <w:link w:val="Heading1"/>
    <w:rsid w:val="00011637"/>
    <w:rPr>
      <w:rFonts w:ascii="Times New Roman" w:eastAsia="Times New Roman" w:hAnsi="Times New Roman" w:cs="Times New Roman"/>
      <w:sz w:val="28"/>
      <w:szCs w:val="20"/>
      <w:lang w:val="en-AU"/>
    </w:rPr>
  </w:style>
  <w:style w:type="character" w:customStyle="1" w:styleId="Heading2Char">
    <w:name w:val="Heading 2 Char"/>
    <w:basedOn w:val="DefaultParagraphFont"/>
    <w:link w:val="Heading2"/>
    <w:rsid w:val="00011637"/>
    <w:rPr>
      <w:rFonts w:ascii="Times New Roman" w:eastAsia="Times New Roman" w:hAnsi="Times New Roman" w:cs="Times New Roman"/>
      <w:b/>
      <w:sz w:val="20"/>
      <w:szCs w:val="20"/>
      <w:u w:val="single"/>
    </w:rPr>
  </w:style>
  <w:style w:type="paragraph" w:styleId="BalloonText">
    <w:name w:val="Balloon Text"/>
    <w:basedOn w:val="Normal"/>
    <w:link w:val="BalloonTextChar"/>
    <w:uiPriority w:val="99"/>
    <w:semiHidden/>
    <w:unhideWhenUsed/>
    <w:rsid w:val="00011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1637"/>
    <w:rPr>
      <w:rFonts w:ascii="Lucida Grande" w:hAnsi="Lucida Grande" w:cs="Lucida Grande"/>
      <w:sz w:val="18"/>
      <w:szCs w:val="18"/>
    </w:rPr>
  </w:style>
  <w:style w:type="paragraph" w:styleId="ListParagraph">
    <w:name w:val="List Paragraph"/>
    <w:basedOn w:val="Normal"/>
    <w:uiPriority w:val="72"/>
    <w:qFormat/>
    <w:rsid w:val="009C34AF"/>
    <w:pPr>
      <w:ind w:left="720"/>
      <w:contextualSpacing/>
    </w:pPr>
  </w:style>
  <w:style w:type="character" w:styleId="Hyperlink">
    <w:name w:val="Hyperlink"/>
    <w:basedOn w:val="DefaultParagraphFont"/>
    <w:uiPriority w:val="99"/>
    <w:unhideWhenUsed/>
    <w:rsid w:val="00371F55"/>
    <w:rPr>
      <w:color w:val="0000FF" w:themeColor="hyperlink"/>
      <w:u w:val="single"/>
    </w:rPr>
  </w:style>
  <w:style w:type="paragraph" w:styleId="BodyText">
    <w:name w:val="Body Text"/>
    <w:basedOn w:val="Normal"/>
    <w:link w:val="BodyTextChar"/>
    <w:rsid w:val="00CB7AC6"/>
    <w:pPr>
      <w:suppressAutoHyphens/>
      <w:spacing w:after="140" w:line="276" w:lineRule="auto"/>
    </w:pPr>
    <w:rPr>
      <w:rFonts w:eastAsia="Times New Roman" w:cs="Times New Roman"/>
      <w:sz w:val="20"/>
      <w:szCs w:val="20"/>
      <w:lang w:val="en-NZ"/>
    </w:rPr>
  </w:style>
  <w:style w:type="character" w:customStyle="1" w:styleId="BodyTextChar">
    <w:name w:val="Body Text Char"/>
    <w:basedOn w:val="DefaultParagraphFont"/>
    <w:link w:val="BodyText"/>
    <w:rsid w:val="00CB7AC6"/>
    <w:rPr>
      <w:rFonts w:ascii="Times New Roman" w:eastAsia="Times New Roman" w:hAnsi="Times New Roman" w:cs="Times New Roman"/>
      <w:sz w:val="20"/>
      <w:szCs w:val="20"/>
      <w:lang w:val="en-NZ"/>
    </w:rPr>
  </w:style>
  <w:style w:type="paragraph" w:styleId="FootnoteText">
    <w:name w:val="footnote text"/>
    <w:basedOn w:val="Normal"/>
    <w:link w:val="FootnoteTextChar"/>
    <w:uiPriority w:val="99"/>
    <w:unhideWhenUsed/>
    <w:rsid w:val="00126A07"/>
    <w:rPr>
      <w:rFonts w:ascii="Cambria" w:eastAsia="MS Mincho" w:hAnsi="Cambria" w:cs="Times New Roman"/>
    </w:rPr>
  </w:style>
  <w:style w:type="character" w:customStyle="1" w:styleId="FootnoteTextChar">
    <w:name w:val="Footnote Text Char"/>
    <w:basedOn w:val="DefaultParagraphFont"/>
    <w:link w:val="FootnoteText"/>
    <w:uiPriority w:val="99"/>
    <w:rsid w:val="00126A07"/>
    <w:rPr>
      <w:rFonts w:ascii="Cambria" w:eastAsia="MS Mincho" w:hAnsi="Cambria" w:cs="Times New Roman"/>
    </w:rPr>
  </w:style>
  <w:style w:type="character" w:styleId="FootnoteReference">
    <w:name w:val="footnote reference"/>
    <w:uiPriority w:val="99"/>
    <w:unhideWhenUsed/>
    <w:rsid w:val="00126A07"/>
    <w:rPr>
      <w:vertAlign w:val="superscript"/>
    </w:rPr>
  </w:style>
  <w:style w:type="character" w:customStyle="1" w:styleId="apple-converted-space">
    <w:name w:val="apple-converted-space"/>
    <w:rsid w:val="00126A07"/>
  </w:style>
  <w:style w:type="character" w:styleId="Strong">
    <w:name w:val="Strong"/>
    <w:basedOn w:val="DefaultParagraphFont"/>
    <w:uiPriority w:val="22"/>
    <w:qFormat/>
    <w:rsid w:val="00126A07"/>
    <w:rPr>
      <w:b/>
      <w:bCs/>
    </w:rPr>
  </w:style>
  <w:style w:type="character" w:styleId="FollowedHyperlink">
    <w:name w:val="FollowedHyperlink"/>
    <w:basedOn w:val="DefaultParagraphFont"/>
    <w:uiPriority w:val="99"/>
    <w:semiHidden/>
    <w:unhideWhenUsed/>
    <w:rsid w:val="00126A07"/>
    <w:rPr>
      <w:color w:val="800080" w:themeColor="followedHyperlink"/>
      <w:u w:val="single"/>
    </w:rPr>
  </w:style>
  <w:style w:type="character" w:styleId="UnresolvedMention">
    <w:name w:val="Unresolved Mention"/>
    <w:basedOn w:val="DefaultParagraphFont"/>
    <w:uiPriority w:val="99"/>
    <w:semiHidden/>
    <w:unhideWhenUsed/>
    <w:rsid w:val="003F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3635">
      <w:bodyDiv w:val="1"/>
      <w:marLeft w:val="0"/>
      <w:marRight w:val="0"/>
      <w:marTop w:val="0"/>
      <w:marBottom w:val="0"/>
      <w:divBdr>
        <w:top w:val="none" w:sz="0" w:space="0" w:color="auto"/>
        <w:left w:val="none" w:sz="0" w:space="0" w:color="auto"/>
        <w:bottom w:val="none" w:sz="0" w:space="0" w:color="auto"/>
        <w:right w:val="none" w:sz="0" w:space="0" w:color="auto"/>
      </w:divBdr>
      <w:divsChild>
        <w:div w:id="1739134847">
          <w:marLeft w:val="0"/>
          <w:marRight w:val="0"/>
          <w:marTop w:val="0"/>
          <w:marBottom w:val="0"/>
          <w:divBdr>
            <w:top w:val="none" w:sz="0" w:space="0" w:color="auto"/>
            <w:left w:val="none" w:sz="0" w:space="0" w:color="auto"/>
            <w:bottom w:val="none" w:sz="0" w:space="0" w:color="auto"/>
            <w:right w:val="none" w:sz="0" w:space="0" w:color="auto"/>
          </w:divBdr>
          <w:divsChild>
            <w:div w:id="1232928804">
              <w:marLeft w:val="0"/>
              <w:marRight w:val="0"/>
              <w:marTop w:val="0"/>
              <w:marBottom w:val="0"/>
              <w:divBdr>
                <w:top w:val="none" w:sz="0" w:space="0" w:color="auto"/>
                <w:left w:val="none" w:sz="0" w:space="0" w:color="auto"/>
                <w:bottom w:val="none" w:sz="0" w:space="0" w:color="auto"/>
                <w:right w:val="none" w:sz="0" w:space="0" w:color="auto"/>
              </w:divBdr>
              <w:divsChild>
                <w:div w:id="12501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7911">
      <w:bodyDiv w:val="1"/>
      <w:marLeft w:val="0"/>
      <w:marRight w:val="0"/>
      <w:marTop w:val="0"/>
      <w:marBottom w:val="0"/>
      <w:divBdr>
        <w:top w:val="none" w:sz="0" w:space="0" w:color="auto"/>
        <w:left w:val="none" w:sz="0" w:space="0" w:color="auto"/>
        <w:bottom w:val="none" w:sz="0" w:space="0" w:color="auto"/>
        <w:right w:val="none" w:sz="0" w:space="0" w:color="auto"/>
      </w:divBdr>
    </w:div>
    <w:div w:id="381448359">
      <w:bodyDiv w:val="1"/>
      <w:marLeft w:val="0"/>
      <w:marRight w:val="0"/>
      <w:marTop w:val="0"/>
      <w:marBottom w:val="0"/>
      <w:divBdr>
        <w:top w:val="none" w:sz="0" w:space="0" w:color="auto"/>
        <w:left w:val="none" w:sz="0" w:space="0" w:color="auto"/>
        <w:bottom w:val="none" w:sz="0" w:space="0" w:color="auto"/>
        <w:right w:val="none" w:sz="0" w:space="0" w:color="auto"/>
      </w:divBdr>
      <w:divsChild>
        <w:div w:id="850147943">
          <w:marLeft w:val="0"/>
          <w:marRight w:val="0"/>
          <w:marTop w:val="0"/>
          <w:marBottom w:val="0"/>
          <w:divBdr>
            <w:top w:val="none" w:sz="0" w:space="0" w:color="auto"/>
            <w:left w:val="none" w:sz="0" w:space="0" w:color="auto"/>
            <w:bottom w:val="none" w:sz="0" w:space="0" w:color="auto"/>
            <w:right w:val="none" w:sz="0" w:space="0" w:color="auto"/>
          </w:divBdr>
          <w:divsChild>
            <w:div w:id="253514202">
              <w:marLeft w:val="0"/>
              <w:marRight w:val="0"/>
              <w:marTop w:val="0"/>
              <w:marBottom w:val="0"/>
              <w:divBdr>
                <w:top w:val="none" w:sz="0" w:space="0" w:color="auto"/>
                <w:left w:val="none" w:sz="0" w:space="0" w:color="auto"/>
                <w:bottom w:val="none" w:sz="0" w:space="0" w:color="auto"/>
                <w:right w:val="none" w:sz="0" w:space="0" w:color="auto"/>
              </w:divBdr>
              <w:divsChild>
                <w:div w:id="6929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3612">
      <w:bodyDiv w:val="1"/>
      <w:marLeft w:val="0"/>
      <w:marRight w:val="0"/>
      <w:marTop w:val="0"/>
      <w:marBottom w:val="0"/>
      <w:divBdr>
        <w:top w:val="none" w:sz="0" w:space="0" w:color="auto"/>
        <w:left w:val="none" w:sz="0" w:space="0" w:color="auto"/>
        <w:bottom w:val="none" w:sz="0" w:space="0" w:color="auto"/>
        <w:right w:val="none" w:sz="0" w:space="0" w:color="auto"/>
      </w:divBdr>
      <w:divsChild>
        <w:div w:id="1034968045">
          <w:marLeft w:val="0"/>
          <w:marRight w:val="0"/>
          <w:marTop w:val="0"/>
          <w:marBottom w:val="0"/>
          <w:divBdr>
            <w:top w:val="none" w:sz="0" w:space="0" w:color="auto"/>
            <w:left w:val="none" w:sz="0" w:space="0" w:color="auto"/>
            <w:bottom w:val="none" w:sz="0" w:space="0" w:color="auto"/>
            <w:right w:val="none" w:sz="0" w:space="0" w:color="auto"/>
          </w:divBdr>
          <w:divsChild>
            <w:div w:id="963075650">
              <w:marLeft w:val="0"/>
              <w:marRight w:val="0"/>
              <w:marTop w:val="0"/>
              <w:marBottom w:val="0"/>
              <w:divBdr>
                <w:top w:val="none" w:sz="0" w:space="0" w:color="auto"/>
                <w:left w:val="none" w:sz="0" w:space="0" w:color="auto"/>
                <w:bottom w:val="none" w:sz="0" w:space="0" w:color="auto"/>
                <w:right w:val="none" w:sz="0" w:space="0" w:color="auto"/>
              </w:divBdr>
              <w:divsChild>
                <w:div w:id="1527862306">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9132">
      <w:bodyDiv w:val="1"/>
      <w:marLeft w:val="0"/>
      <w:marRight w:val="0"/>
      <w:marTop w:val="0"/>
      <w:marBottom w:val="0"/>
      <w:divBdr>
        <w:top w:val="none" w:sz="0" w:space="0" w:color="auto"/>
        <w:left w:val="none" w:sz="0" w:space="0" w:color="auto"/>
        <w:bottom w:val="none" w:sz="0" w:space="0" w:color="auto"/>
        <w:right w:val="none" w:sz="0" w:space="0" w:color="auto"/>
      </w:divBdr>
      <w:divsChild>
        <w:div w:id="1600410865">
          <w:marLeft w:val="0"/>
          <w:marRight w:val="0"/>
          <w:marTop w:val="0"/>
          <w:marBottom w:val="0"/>
          <w:divBdr>
            <w:top w:val="none" w:sz="0" w:space="0" w:color="auto"/>
            <w:left w:val="none" w:sz="0" w:space="0" w:color="auto"/>
            <w:bottom w:val="none" w:sz="0" w:space="0" w:color="auto"/>
            <w:right w:val="none" w:sz="0" w:space="0" w:color="auto"/>
          </w:divBdr>
          <w:divsChild>
            <w:div w:id="2101097124">
              <w:marLeft w:val="0"/>
              <w:marRight w:val="0"/>
              <w:marTop w:val="0"/>
              <w:marBottom w:val="0"/>
              <w:divBdr>
                <w:top w:val="none" w:sz="0" w:space="0" w:color="auto"/>
                <w:left w:val="none" w:sz="0" w:space="0" w:color="auto"/>
                <w:bottom w:val="none" w:sz="0" w:space="0" w:color="auto"/>
                <w:right w:val="none" w:sz="0" w:space="0" w:color="auto"/>
              </w:divBdr>
              <w:divsChild>
                <w:div w:id="1084961799">
                  <w:marLeft w:val="0"/>
                  <w:marRight w:val="0"/>
                  <w:marTop w:val="0"/>
                  <w:marBottom w:val="0"/>
                  <w:divBdr>
                    <w:top w:val="none" w:sz="0" w:space="0" w:color="auto"/>
                    <w:left w:val="none" w:sz="0" w:space="0" w:color="auto"/>
                    <w:bottom w:val="none" w:sz="0" w:space="0" w:color="auto"/>
                    <w:right w:val="none" w:sz="0" w:space="0" w:color="auto"/>
                  </w:divBdr>
                  <w:divsChild>
                    <w:div w:id="2350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01136">
      <w:bodyDiv w:val="1"/>
      <w:marLeft w:val="0"/>
      <w:marRight w:val="0"/>
      <w:marTop w:val="0"/>
      <w:marBottom w:val="0"/>
      <w:divBdr>
        <w:top w:val="none" w:sz="0" w:space="0" w:color="auto"/>
        <w:left w:val="none" w:sz="0" w:space="0" w:color="auto"/>
        <w:bottom w:val="none" w:sz="0" w:space="0" w:color="auto"/>
        <w:right w:val="none" w:sz="0" w:space="0" w:color="auto"/>
      </w:divBdr>
    </w:div>
    <w:div w:id="1759206742">
      <w:bodyDiv w:val="1"/>
      <w:marLeft w:val="0"/>
      <w:marRight w:val="0"/>
      <w:marTop w:val="0"/>
      <w:marBottom w:val="0"/>
      <w:divBdr>
        <w:top w:val="none" w:sz="0" w:space="0" w:color="auto"/>
        <w:left w:val="none" w:sz="0" w:space="0" w:color="auto"/>
        <w:bottom w:val="none" w:sz="0" w:space="0" w:color="auto"/>
        <w:right w:val="none" w:sz="0" w:space="0" w:color="auto"/>
      </w:divBdr>
    </w:div>
    <w:div w:id="1854372994">
      <w:bodyDiv w:val="1"/>
      <w:marLeft w:val="0"/>
      <w:marRight w:val="0"/>
      <w:marTop w:val="0"/>
      <w:marBottom w:val="0"/>
      <w:divBdr>
        <w:top w:val="none" w:sz="0" w:space="0" w:color="auto"/>
        <w:left w:val="none" w:sz="0" w:space="0" w:color="auto"/>
        <w:bottom w:val="none" w:sz="0" w:space="0" w:color="auto"/>
        <w:right w:val="none" w:sz="0" w:space="0" w:color="auto"/>
      </w:divBdr>
      <w:divsChild>
        <w:div w:id="202669575">
          <w:marLeft w:val="0"/>
          <w:marRight w:val="0"/>
          <w:marTop w:val="0"/>
          <w:marBottom w:val="0"/>
          <w:divBdr>
            <w:top w:val="none" w:sz="0" w:space="0" w:color="auto"/>
            <w:left w:val="none" w:sz="0" w:space="0" w:color="auto"/>
            <w:bottom w:val="none" w:sz="0" w:space="0" w:color="auto"/>
            <w:right w:val="none" w:sz="0" w:space="0" w:color="auto"/>
          </w:divBdr>
          <w:divsChild>
            <w:div w:id="438960222">
              <w:marLeft w:val="0"/>
              <w:marRight w:val="0"/>
              <w:marTop w:val="0"/>
              <w:marBottom w:val="0"/>
              <w:divBdr>
                <w:top w:val="none" w:sz="0" w:space="0" w:color="auto"/>
                <w:left w:val="none" w:sz="0" w:space="0" w:color="auto"/>
                <w:bottom w:val="none" w:sz="0" w:space="0" w:color="auto"/>
                <w:right w:val="none" w:sz="0" w:space="0" w:color="auto"/>
              </w:divBdr>
              <w:divsChild>
                <w:div w:id="11734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3901-2022-INIT/en/pdf" TargetMode="External"/><Relationship Id="rId7" Type="http://schemas.openxmlformats.org/officeDocument/2006/relationships/hyperlink" Target="https://rodaleinstitute.org/science/articles/managing-the-brown-marmorated-stink-bug-organically/" TargetMode="External"/><Relationship Id="rId2" Type="http://schemas.openxmlformats.org/officeDocument/2006/relationships/hyperlink" Target="https://doi.org/10.1007/s11356-022-19331-7" TargetMode="External"/><Relationship Id="rId1" Type="http://schemas.openxmlformats.org/officeDocument/2006/relationships/hyperlink" Target="https://www.syngenta.co.nz/product/crop-protection/insecticide/actara" TargetMode="External"/><Relationship Id="rId6" Type="http://schemas.openxmlformats.org/officeDocument/2006/relationships/hyperlink" Target="https://www.epa.govt.nz/assets/FileAPI/hsno-ar/APP203336/0ed5350647/APP203336-Decision.pdf" TargetMode="External"/><Relationship Id="rId5" Type="http://schemas.openxmlformats.org/officeDocument/2006/relationships/hyperlink" Target="https://www.nature.com/articles/s41598-017-15308-6" TargetMode="External"/><Relationship Id="rId4" Type="http://schemas.openxmlformats.org/officeDocument/2006/relationships/hyperlink" Target="https://doi.org/10.1016/j.scitotenv.2018.08.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1717</Words>
  <Characters>9790</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Bleakley</cp:lastModifiedBy>
  <cp:revision>24</cp:revision>
  <cp:lastPrinted>2018-12-28T02:05:00Z</cp:lastPrinted>
  <dcterms:created xsi:type="dcterms:W3CDTF">2023-01-13T03:36:00Z</dcterms:created>
  <dcterms:modified xsi:type="dcterms:W3CDTF">2023-01-24T04:55:00Z</dcterms:modified>
</cp:coreProperties>
</file>